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1341" w14:textId="77777777" w:rsidR="008A442B" w:rsidRDefault="008A442B" w:rsidP="008A442B">
      <w:pPr>
        <w:jc w:val="center"/>
        <w:rPr>
          <w:b/>
          <w:bCs/>
          <w:sz w:val="24"/>
          <w:szCs w:val="24"/>
        </w:rPr>
      </w:pPr>
    </w:p>
    <w:p w14:paraId="6717FB26" w14:textId="78C1F0D9" w:rsidR="001A442F" w:rsidRPr="008A442B" w:rsidRDefault="008A442B" w:rsidP="008A44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Audizione Commissione Bilancio</w:t>
      </w:r>
      <w:r w:rsidRPr="008A442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Senato - </w:t>
      </w:r>
      <w:r w:rsidR="000B78F8" w:rsidRPr="008A442B">
        <w:rPr>
          <w:b/>
          <w:bCs/>
          <w:sz w:val="24"/>
          <w:szCs w:val="24"/>
        </w:rPr>
        <w:t>A.S. 564 (D.L. 13/2023 - Attuazione PNRR)</w:t>
      </w:r>
    </w:p>
    <w:p w14:paraId="63B7FF15" w14:textId="0940C9AA" w:rsidR="00D82D87" w:rsidRPr="008A442B" w:rsidRDefault="008A442B" w:rsidP="008A442B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Sintesi per la stampa</w:t>
      </w:r>
    </w:p>
    <w:p w14:paraId="31BF600B" w14:textId="476708DF" w:rsidR="0099478A" w:rsidRPr="008A442B" w:rsidRDefault="005E3A54" w:rsidP="009B41EA">
      <w:pPr>
        <w:jc w:val="both"/>
        <w:rPr>
          <w:sz w:val="24"/>
          <w:szCs w:val="24"/>
        </w:rPr>
      </w:pPr>
      <w:r w:rsidRPr="008A442B">
        <w:rPr>
          <w:sz w:val="24"/>
          <w:szCs w:val="24"/>
        </w:rPr>
        <w:t>L’Unione europea prevede la possibilità per gli stati membri di apportare delle modifiche ai rispettivi piani nazionali di ripresa e resilienza.</w:t>
      </w:r>
      <w:r w:rsidR="00D82D87" w:rsidRPr="008A442B">
        <w:rPr>
          <w:sz w:val="24"/>
          <w:szCs w:val="24"/>
        </w:rPr>
        <w:t xml:space="preserve"> </w:t>
      </w:r>
      <w:r w:rsidR="0099478A" w:rsidRPr="008A442B">
        <w:rPr>
          <w:sz w:val="24"/>
          <w:szCs w:val="24"/>
        </w:rPr>
        <w:t>A stabilirlo è l’</w:t>
      </w:r>
      <w:r w:rsidR="006035D0" w:rsidRPr="008A442B">
        <w:rPr>
          <w:sz w:val="24"/>
          <w:szCs w:val="24"/>
        </w:rPr>
        <w:t xml:space="preserve">articolo 21 del regolamento Ue 2021/241, </w:t>
      </w:r>
      <w:r w:rsidR="0099478A" w:rsidRPr="008A442B">
        <w:rPr>
          <w:sz w:val="24"/>
          <w:szCs w:val="24"/>
        </w:rPr>
        <w:t>specificando che le modifiche devono essere giustificate da circostanze oggettive, per le quali non è più possibile realizzare i traguardi e gli obiettivi inizialmente previsti.</w:t>
      </w:r>
    </w:p>
    <w:p w14:paraId="642C7B14" w14:textId="191BDF04" w:rsidR="00F35F89" w:rsidRPr="008A442B" w:rsidRDefault="00F35F89" w:rsidP="009B41EA">
      <w:pPr>
        <w:jc w:val="both"/>
        <w:rPr>
          <w:sz w:val="24"/>
          <w:szCs w:val="24"/>
        </w:rPr>
      </w:pPr>
      <w:r w:rsidRPr="008A442B">
        <w:rPr>
          <w:sz w:val="24"/>
          <w:szCs w:val="24"/>
        </w:rPr>
        <w:t xml:space="preserve">Già Portogallo, Lussemburgo, Germania </w:t>
      </w:r>
      <w:r w:rsidR="000A1291" w:rsidRPr="008A442B">
        <w:rPr>
          <w:sz w:val="24"/>
          <w:szCs w:val="24"/>
        </w:rPr>
        <w:t>hanno presentato alla Commissione richieste di modifica del proprio PNRR</w:t>
      </w:r>
      <w:r w:rsidR="001B7396" w:rsidRPr="008A442B">
        <w:rPr>
          <w:sz w:val="24"/>
          <w:szCs w:val="24"/>
        </w:rPr>
        <w:t>.</w:t>
      </w:r>
    </w:p>
    <w:p w14:paraId="5D4768E1" w14:textId="5BF73F35" w:rsidR="001B7396" w:rsidRPr="008A442B" w:rsidRDefault="00715CAC" w:rsidP="009B41EA">
      <w:pPr>
        <w:jc w:val="both"/>
        <w:rPr>
          <w:sz w:val="24"/>
          <w:szCs w:val="24"/>
        </w:rPr>
      </w:pPr>
      <w:r w:rsidRPr="008A442B">
        <w:rPr>
          <w:sz w:val="24"/>
          <w:szCs w:val="24"/>
        </w:rPr>
        <w:t xml:space="preserve">Il 30 dicembre 2022 il governo italiano ha comunicato di aver raggiunto i 55 traguardi-obiettivi del Piano nazionale di ripresa e resilienza per il secondo semestre 2022 e ha inviato alla Commissione Ue la richiesta di pagamento della terza rata da 21,8 miliardi di euro. L’Italia ha quindi rispettato sinora tutte le scadenze semestrali previste dal </w:t>
      </w:r>
      <w:proofErr w:type="spellStart"/>
      <w:r w:rsidRPr="008A442B">
        <w:rPr>
          <w:sz w:val="24"/>
          <w:szCs w:val="24"/>
        </w:rPr>
        <w:t>Pnrr</w:t>
      </w:r>
      <w:proofErr w:type="spellEnd"/>
      <w:r w:rsidR="00F421DE" w:rsidRPr="008A442B">
        <w:rPr>
          <w:sz w:val="24"/>
          <w:szCs w:val="24"/>
        </w:rPr>
        <w:t>.</w:t>
      </w:r>
    </w:p>
    <w:p w14:paraId="5C14ACE6" w14:textId="471376C0" w:rsidR="002E04D1" w:rsidRPr="008A442B" w:rsidRDefault="003E6B63" w:rsidP="009B41EA">
      <w:pPr>
        <w:jc w:val="both"/>
        <w:rPr>
          <w:sz w:val="24"/>
          <w:szCs w:val="24"/>
        </w:rPr>
      </w:pPr>
      <w:r w:rsidRPr="008A442B">
        <w:rPr>
          <w:sz w:val="24"/>
          <w:szCs w:val="24"/>
        </w:rPr>
        <w:t>Il 2023 è l’anno di apertura dei cantieri e si capirà se l’Italia sarà in grado di completare tutto entro il 2026</w:t>
      </w:r>
      <w:r w:rsidR="002E04D1" w:rsidRPr="008A442B">
        <w:rPr>
          <w:sz w:val="24"/>
          <w:szCs w:val="24"/>
        </w:rPr>
        <w:t>.</w:t>
      </w:r>
      <w:r w:rsidR="008A442B">
        <w:rPr>
          <w:sz w:val="24"/>
          <w:szCs w:val="24"/>
        </w:rPr>
        <w:t xml:space="preserve"> </w:t>
      </w:r>
      <w:r w:rsidR="002E04D1" w:rsidRPr="008A442B">
        <w:rPr>
          <w:sz w:val="24"/>
          <w:szCs w:val="24"/>
        </w:rPr>
        <w:t>I tempi serrati e le conseguenze della guerra hanno messo al centro del dibattito l’ipotesi della revisione del Piano nazionale di ripresa e resilienza.</w:t>
      </w:r>
    </w:p>
    <w:p w14:paraId="15762FEB" w14:textId="37ACBD1A" w:rsidR="007568BC" w:rsidRPr="008A442B" w:rsidRDefault="007568BC" w:rsidP="009B41EA">
      <w:pPr>
        <w:jc w:val="both"/>
        <w:rPr>
          <w:sz w:val="24"/>
          <w:szCs w:val="24"/>
        </w:rPr>
      </w:pPr>
      <w:r w:rsidRPr="008A442B">
        <w:rPr>
          <w:sz w:val="24"/>
          <w:szCs w:val="24"/>
        </w:rPr>
        <w:t>I contenuti del DL su cui siamo stati convocati si riferiscono ad una revisione profonda della governance del Piano con l’intento di semplificare e accelerare il lavoro delle amministrazioni per gestire meglio la fase attuativa e di realizzazione degli investimenti e realizzare nei tempi le opere previste.</w:t>
      </w:r>
    </w:p>
    <w:p w14:paraId="78DF6728" w14:textId="12E5FC2C" w:rsidR="00AC5DF8" w:rsidRPr="008A442B" w:rsidRDefault="00B74227" w:rsidP="009B41EA">
      <w:pPr>
        <w:jc w:val="both"/>
        <w:rPr>
          <w:sz w:val="24"/>
          <w:szCs w:val="24"/>
        </w:rPr>
      </w:pPr>
      <w:r w:rsidRPr="008A442B">
        <w:rPr>
          <w:sz w:val="24"/>
          <w:szCs w:val="24"/>
        </w:rPr>
        <w:t>Passare dal dire al fare richiede quindi di accelerare la macchina amministrativa.</w:t>
      </w:r>
    </w:p>
    <w:p w14:paraId="1C07E1A7" w14:textId="702EF501" w:rsidR="00B612D7" w:rsidRPr="008A442B" w:rsidRDefault="00B612D7" w:rsidP="009B41EA">
      <w:pPr>
        <w:jc w:val="both"/>
        <w:rPr>
          <w:sz w:val="24"/>
          <w:szCs w:val="24"/>
        </w:rPr>
      </w:pPr>
      <w:r w:rsidRPr="008A442B">
        <w:rPr>
          <w:sz w:val="24"/>
          <w:szCs w:val="24"/>
        </w:rPr>
        <w:t>Le direttrici lungo cui si muove l’azione di Palazzo Chigi tramite il dl PNRR 3 sono diverse e vanno in parallelo: una profonda revisione della governance del PNRR che rafforza la regia del Piano sotto la Presidenza del Consiglio; un rafforzamento della capacità amministrativa dei soggetti chiamati ad attuare gli interventi previsti dal PNRR e dal Piano Complementare al Recovery che passa attraverso un’accelerazione e una semplificazione delle procedure in vari settori; una gestione più efficace delle Politiche di Coesione europea e nazionale, in sinergia con la Politica Agricola Comune.</w:t>
      </w:r>
    </w:p>
    <w:p w14:paraId="23248E3F" w14:textId="77777777" w:rsidR="004C575E" w:rsidRPr="008A442B" w:rsidRDefault="00A7729D" w:rsidP="009B41EA">
      <w:pPr>
        <w:jc w:val="both"/>
        <w:rPr>
          <w:sz w:val="24"/>
          <w:szCs w:val="24"/>
        </w:rPr>
      </w:pPr>
      <w:r w:rsidRPr="008A442B">
        <w:rPr>
          <w:sz w:val="24"/>
          <w:szCs w:val="24"/>
        </w:rPr>
        <w:t>La nuova struttura di missione PNRR accentra i poteri nelle mani della Presidenza del Consiglio, che oltre a fare da punto di contatto nazionale per l’attuazione del PNRR assume poteri sostitutivi in caso di mancato rispetto da parte delle Regioni degli impegni finalizzati</w:t>
      </w:r>
      <w:r w:rsidR="004C575E" w:rsidRPr="008A442B">
        <w:rPr>
          <w:sz w:val="24"/>
          <w:szCs w:val="24"/>
        </w:rPr>
        <w:t xml:space="preserve"> all’attuazione del PNRR. Il controllo e il monitoraggio della spesa degli interventi PNRR e PNC sono invece in capo al MEF.</w:t>
      </w:r>
    </w:p>
    <w:p w14:paraId="547A100A" w14:textId="5AA419A9" w:rsidR="00C41013" w:rsidRPr="008A442B" w:rsidRDefault="004C575E" w:rsidP="009B41EA">
      <w:pPr>
        <w:jc w:val="both"/>
        <w:rPr>
          <w:sz w:val="24"/>
          <w:szCs w:val="24"/>
        </w:rPr>
      </w:pPr>
      <w:r w:rsidRPr="008A442B">
        <w:rPr>
          <w:sz w:val="24"/>
          <w:szCs w:val="24"/>
        </w:rPr>
        <w:t xml:space="preserve">Il secondo piano di lavoro del decreto PNRR ter è la semplificazione. </w:t>
      </w:r>
      <w:r w:rsidR="008A442B">
        <w:rPr>
          <w:sz w:val="24"/>
          <w:szCs w:val="24"/>
        </w:rPr>
        <w:t xml:space="preserve"> </w:t>
      </w:r>
      <w:r w:rsidR="00120CC2" w:rsidRPr="008A442B">
        <w:rPr>
          <w:sz w:val="24"/>
          <w:szCs w:val="24"/>
        </w:rPr>
        <w:t>In primo luogo,</w:t>
      </w:r>
      <w:r w:rsidRPr="008A442B">
        <w:rPr>
          <w:sz w:val="24"/>
          <w:szCs w:val="24"/>
        </w:rPr>
        <w:t xml:space="preserve"> il decreto agisce su appalti pubblici e grandi opere prevedendo l’estensione a tutti gli appalti PNRR e PNC, comprese le infrastrutture connesse, delle procedure “</w:t>
      </w:r>
      <w:proofErr w:type="spellStart"/>
      <w:r w:rsidRPr="008A442B">
        <w:rPr>
          <w:sz w:val="24"/>
          <w:szCs w:val="24"/>
        </w:rPr>
        <w:t>supersemplificate</w:t>
      </w:r>
      <w:proofErr w:type="spellEnd"/>
      <w:r w:rsidRPr="008A442B">
        <w:rPr>
          <w:sz w:val="24"/>
          <w:szCs w:val="24"/>
        </w:rPr>
        <w:t>” in materia di conferenza dei servizi, VIA e acquisizione degli assensi dei beni culturali.</w:t>
      </w:r>
    </w:p>
    <w:p w14:paraId="4F45F7C4" w14:textId="3C7A5AD0" w:rsidR="007F0D94" w:rsidRPr="008A442B" w:rsidRDefault="007F0D94" w:rsidP="009B41EA">
      <w:pPr>
        <w:jc w:val="both"/>
        <w:rPr>
          <w:sz w:val="24"/>
          <w:szCs w:val="24"/>
        </w:rPr>
      </w:pPr>
      <w:r w:rsidRPr="008A442B">
        <w:rPr>
          <w:sz w:val="24"/>
          <w:szCs w:val="24"/>
        </w:rPr>
        <w:t xml:space="preserve">Confesercenti </w:t>
      </w:r>
      <w:r w:rsidR="007C6933" w:rsidRPr="008A442B">
        <w:rPr>
          <w:sz w:val="24"/>
          <w:szCs w:val="24"/>
        </w:rPr>
        <w:t>condivide</w:t>
      </w:r>
      <w:r w:rsidRPr="008A442B">
        <w:rPr>
          <w:sz w:val="24"/>
          <w:szCs w:val="24"/>
        </w:rPr>
        <w:t xml:space="preserve"> gli strumenti che possano migliorare l’efficienza gestionale di un Programma di intervento così ampio e complesso che, soprattutto, deve essere attuato in tempi brevi se rapportati a quelli medi del nostro Pese in termini di realizzazione di investimenti o gestione delle risorse comunitarie.  Ricordiamo che già l’ultima N</w:t>
      </w:r>
      <w:r w:rsidR="00D54812" w:rsidRPr="008A442B">
        <w:rPr>
          <w:sz w:val="24"/>
          <w:szCs w:val="24"/>
        </w:rPr>
        <w:t>A</w:t>
      </w:r>
      <w:r w:rsidRPr="008A442B">
        <w:rPr>
          <w:sz w:val="24"/>
          <w:szCs w:val="24"/>
        </w:rPr>
        <w:t xml:space="preserve">DEF </w:t>
      </w:r>
      <w:r w:rsidR="007C6933" w:rsidRPr="008A442B">
        <w:rPr>
          <w:sz w:val="24"/>
          <w:szCs w:val="24"/>
        </w:rPr>
        <w:t>abbiamo</w:t>
      </w:r>
      <w:r w:rsidRPr="008A442B">
        <w:rPr>
          <w:sz w:val="24"/>
          <w:szCs w:val="24"/>
        </w:rPr>
        <w:t xml:space="preserve"> evidenziato ritardi nella capacità di spesa da parte dello Stato, segnalando ritardi nella spesa prevista anche rilevanti.</w:t>
      </w:r>
    </w:p>
    <w:p w14:paraId="0BBD9BD9" w14:textId="6E16769C" w:rsidR="00832490" w:rsidRPr="008A442B" w:rsidRDefault="00832490" w:rsidP="009B41EA">
      <w:pPr>
        <w:jc w:val="both"/>
        <w:rPr>
          <w:sz w:val="24"/>
          <w:szCs w:val="24"/>
        </w:rPr>
      </w:pPr>
      <w:r w:rsidRPr="008A442B">
        <w:rPr>
          <w:sz w:val="24"/>
          <w:szCs w:val="24"/>
        </w:rPr>
        <w:t>La vera sfida è la capacità della macchina amministrativa di scaricare a terra il potenziale del Piano che si esprime nella efficace programmazione e gestione delle misure in grado di moltiplicarne gli effetti sostanziali, garantiti da una governance efficace che sovraintenda all’attuazione del Piano e al suo monitoraggio. Una governance che dovrà, da un lato, essere agile e snella per assicurare l’efficacia e la tempestività dell’azione in linea con la stringente tempistica di rendicontazione richiesta dalla Commissione Europea e, dall’altro, garantire il</w:t>
      </w:r>
      <w:r w:rsidR="007774DA" w:rsidRPr="008A442B">
        <w:rPr>
          <w:sz w:val="24"/>
          <w:szCs w:val="24"/>
        </w:rPr>
        <w:t xml:space="preserve"> coinvolgimento dei diversi livelli di governo interessati nel processo di attuazione del PNRR così come delle parti sociali.</w:t>
      </w:r>
    </w:p>
    <w:p w14:paraId="1032B2F4" w14:textId="77777777" w:rsidR="007E3F4B" w:rsidRPr="008A442B" w:rsidRDefault="007E3F4B" w:rsidP="007E3F4B">
      <w:pPr>
        <w:jc w:val="both"/>
        <w:rPr>
          <w:sz w:val="24"/>
          <w:szCs w:val="24"/>
        </w:rPr>
      </w:pPr>
      <w:r w:rsidRPr="008A442B">
        <w:rPr>
          <w:sz w:val="24"/>
          <w:szCs w:val="24"/>
        </w:rPr>
        <w:t>Fin dall’inizio della presentazione del PNRR abbiamo segnalato la necessità che “l’urgenza” non determinasse esclusiva attenzione per i grandi progetti. Segnaliamo a tale proposito l’esigenza di garantire risorse per progetti destinati ad occupazione e lavoro, e rigenerazione urbana.</w:t>
      </w:r>
    </w:p>
    <w:p w14:paraId="6C626E82" w14:textId="77777777" w:rsidR="00DD67CD" w:rsidRPr="008A442B" w:rsidRDefault="00E476A0" w:rsidP="007E3F4B">
      <w:pPr>
        <w:jc w:val="both"/>
        <w:rPr>
          <w:sz w:val="24"/>
          <w:szCs w:val="24"/>
        </w:rPr>
      </w:pPr>
      <w:r w:rsidRPr="008A442B">
        <w:rPr>
          <w:sz w:val="24"/>
          <w:szCs w:val="24"/>
        </w:rPr>
        <w:t xml:space="preserve">Si considerino </w:t>
      </w:r>
      <w:r w:rsidR="00DD67CD" w:rsidRPr="008A442B">
        <w:rPr>
          <w:sz w:val="24"/>
          <w:szCs w:val="24"/>
        </w:rPr>
        <w:t>questi dati:</w:t>
      </w:r>
    </w:p>
    <w:p w14:paraId="40556E20" w14:textId="77777777" w:rsidR="00DD67CD" w:rsidRPr="008A442B" w:rsidRDefault="00DD67CD" w:rsidP="009B41EA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8A442B">
        <w:rPr>
          <w:sz w:val="24"/>
          <w:szCs w:val="24"/>
        </w:rPr>
        <w:t>n</w:t>
      </w:r>
      <w:r w:rsidR="007E3F4B" w:rsidRPr="008A442B">
        <w:rPr>
          <w:sz w:val="24"/>
          <w:szCs w:val="24"/>
        </w:rPr>
        <w:t>el TURISMO: 50.000 lavoratori mancano per coprire il fabbisogno delle imprese della ristorazione e dell’accoglienza. Già con le festività pasquali ed i pronti di primavera si rischia di perdere il 5% del fatturato.</w:t>
      </w:r>
    </w:p>
    <w:p w14:paraId="7DA07844" w14:textId="475CB69D" w:rsidR="007E3F4B" w:rsidRPr="008A442B" w:rsidRDefault="00DD67CD" w:rsidP="009B41EA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8A442B">
        <w:rPr>
          <w:sz w:val="24"/>
          <w:szCs w:val="24"/>
        </w:rPr>
        <w:t>n</w:t>
      </w:r>
      <w:r w:rsidR="007E3F4B" w:rsidRPr="008A442B">
        <w:rPr>
          <w:sz w:val="24"/>
          <w:szCs w:val="24"/>
        </w:rPr>
        <w:t>el COMMERCIO: nel 2022 sono spariti 2 negozi ogni ora e si è registrato un crollo nelle nascite di nuove imprese</w:t>
      </w:r>
      <w:r w:rsidR="00D54812" w:rsidRPr="008A442B">
        <w:rPr>
          <w:sz w:val="24"/>
          <w:szCs w:val="24"/>
        </w:rPr>
        <w:t>, mai così poche dal 2012</w:t>
      </w:r>
      <w:r w:rsidR="007E3F4B" w:rsidRPr="008A442B">
        <w:rPr>
          <w:sz w:val="24"/>
          <w:szCs w:val="24"/>
        </w:rPr>
        <w:t>. Occorre un piano straordinario che fornisca sostegno alle attività di vicinato.</w:t>
      </w:r>
    </w:p>
    <w:p w14:paraId="7BEBBADC" w14:textId="7FB56970" w:rsidR="00882BC3" w:rsidRPr="008A442B" w:rsidRDefault="00174F0F" w:rsidP="009B41EA">
      <w:pPr>
        <w:jc w:val="both"/>
        <w:rPr>
          <w:sz w:val="24"/>
          <w:szCs w:val="24"/>
        </w:rPr>
      </w:pPr>
      <w:r w:rsidRPr="008A442B">
        <w:rPr>
          <w:sz w:val="24"/>
          <w:szCs w:val="24"/>
        </w:rPr>
        <w:t xml:space="preserve">Confesercenti apprezza l’attenzione che il </w:t>
      </w:r>
      <w:r w:rsidR="00DD67CD" w:rsidRPr="008A442B">
        <w:rPr>
          <w:sz w:val="24"/>
          <w:szCs w:val="24"/>
        </w:rPr>
        <w:t>Consiglio dei ministri</w:t>
      </w:r>
      <w:r w:rsidRPr="008A442B">
        <w:rPr>
          <w:sz w:val="24"/>
          <w:szCs w:val="24"/>
        </w:rPr>
        <w:t xml:space="preserve"> ha avuto con riferimento alle principali difficoltà che sono state segnalate dagli operatori nei primi mesi di applicazione dell’istituto della composizione negoziata della crisi</w:t>
      </w:r>
      <w:r w:rsidR="008C7741" w:rsidRPr="008A442B">
        <w:rPr>
          <w:sz w:val="24"/>
          <w:szCs w:val="24"/>
        </w:rPr>
        <w:t>.</w:t>
      </w:r>
    </w:p>
    <w:p w14:paraId="41B47157" w14:textId="7D3FF1E1" w:rsidR="00926FC3" w:rsidRPr="008A442B" w:rsidRDefault="00926FC3" w:rsidP="009B41EA">
      <w:pPr>
        <w:jc w:val="both"/>
        <w:rPr>
          <w:sz w:val="24"/>
          <w:szCs w:val="24"/>
        </w:rPr>
      </w:pPr>
      <w:r w:rsidRPr="008A442B">
        <w:rPr>
          <w:sz w:val="24"/>
          <w:szCs w:val="24"/>
        </w:rPr>
        <w:t xml:space="preserve">Al riguardo, però, con riferimento alle c.d. “misure premiali” introdotte al fine di rendere lo strumento appetibile, Confesercenti, con la volontà di presentare proposte atte a favorire la diffusione della procedura di allerta tempestiva e garantire un reale supporto alle imprese ritiene che, per gli imprenditori in difficoltà che aderiscono al </w:t>
      </w:r>
      <w:proofErr w:type="gramStart"/>
      <w:r w:rsidRPr="008A442B">
        <w:rPr>
          <w:sz w:val="24"/>
          <w:szCs w:val="24"/>
        </w:rPr>
        <w:t>predetto</w:t>
      </w:r>
      <w:proofErr w:type="gramEnd"/>
      <w:r w:rsidRPr="008A442B">
        <w:rPr>
          <w:sz w:val="24"/>
          <w:szCs w:val="24"/>
        </w:rPr>
        <w:t xml:space="preserve"> strumento in maniera tempestiva, potrebbero essere integrati e ampliati gli incentivi e le agevolazioni già previsti con i seguenti:</w:t>
      </w:r>
    </w:p>
    <w:p w14:paraId="426CF94A" w14:textId="279701B4" w:rsidR="00926FC3" w:rsidRPr="008A442B" w:rsidRDefault="00926FC3" w:rsidP="007E3F4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8A442B">
        <w:rPr>
          <w:sz w:val="24"/>
          <w:szCs w:val="24"/>
        </w:rPr>
        <w:t>Agevolazioni di tipo fiscale la riduzione delle aliquote IRAP;</w:t>
      </w:r>
    </w:p>
    <w:p w14:paraId="618F2FFB" w14:textId="42DF8D28" w:rsidR="00926FC3" w:rsidRPr="008A442B" w:rsidRDefault="00926FC3" w:rsidP="007E3F4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8A442B">
        <w:rPr>
          <w:sz w:val="24"/>
          <w:szCs w:val="24"/>
        </w:rPr>
        <w:t>Introduzione di strumenti di “finanza dedicata” a partire dai meccanismi di accesso a tali strumenti, valutazione specifica del merito creditizio secondo criteri “non convenzionali”;</w:t>
      </w:r>
    </w:p>
    <w:p w14:paraId="03D227B9" w14:textId="0733E7D3" w:rsidR="00F137B9" w:rsidRPr="008A442B" w:rsidRDefault="00F137B9" w:rsidP="007E3F4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8A442B">
        <w:rPr>
          <w:sz w:val="24"/>
          <w:szCs w:val="24"/>
        </w:rPr>
        <w:t>Previsione di regimi agevolativi in tema di “cuneo fiscale” con particolare attenzione a previsioni di sgravio della contribuzione diretta e riferita al personale dipendente;</w:t>
      </w:r>
    </w:p>
    <w:p w14:paraId="34787762" w14:textId="171742BF" w:rsidR="00F137B9" w:rsidRPr="008A442B" w:rsidRDefault="00F137B9" w:rsidP="007E3F4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8A442B">
        <w:rPr>
          <w:sz w:val="24"/>
          <w:szCs w:val="24"/>
        </w:rPr>
        <w:t>Esclusione “inequivocabile” dalla responsabilità penale dell’imprenditore o degli amministratori al fine di garantire loro maggiore sicurezza giuridica e favorire l’adozione della composizione negoziata della crisi.</w:t>
      </w:r>
    </w:p>
    <w:p w14:paraId="4A7B6470" w14:textId="3025250A" w:rsidR="001C03ED" w:rsidRPr="008A442B" w:rsidRDefault="001C03ED" w:rsidP="009B41EA">
      <w:pPr>
        <w:jc w:val="both"/>
        <w:rPr>
          <w:sz w:val="24"/>
          <w:szCs w:val="24"/>
        </w:rPr>
      </w:pPr>
    </w:p>
    <w:sectPr w:rsidR="001C03ED" w:rsidRPr="008A442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94E6" w14:textId="77777777" w:rsidR="00AC2A49" w:rsidRDefault="00AC2A49" w:rsidP="008A442B">
      <w:pPr>
        <w:spacing w:after="0" w:line="240" w:lineRule="auto"/>
      </w:pPr>
      <w:r>
        <w:separator/>
      </w:r>
    </w:p>
  </w:endnote>
  <w:endnote w:type="continuationSeparator" w:id="0">
    <w:p w14:paraId="00F1AD47" w14:textId="77777777" w:rsidR="00AC2A49" w:rsidRDefault="00AC2A49" w:rsidP="008A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C95C" w14:textId="77777777" w:rsidR="00AC2A49" w:rsidRDefault="00AC2A49" w:rsidP="008A442B">
      <w:pPr>
        <w:spacing w:after="0" w:line="240" w:lineRule="auto"/>
      </w:pPr>
      <w:r>
        <w:separator/>
      </w:r>
    </w:p>
  </w:footnote>
  <w:footnote w:type="continuationSeparator" w:id="0">
    <w:p w14:paraId="1051469B" w14:textId="77777777" w:rsidR="00AC2A49" w:rsidRDefault="00AC2A49" w:rsidP="008A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A37C" w14:textId="53D4CF4D" w:rsidR="008A442B" w:rsidRDefault="008A442B" w:rsidP="008A442B">
    <w:pPr>
      <w:pStyle w:val="Intestazione"/>
      <w:jc w:val="right"/>
    </w:pPr>
    <w:r w:rsidRPr="004B3A32">
      <w:rPr>
        <w:noProof/>
      </w:rPr>
      <w:drawing>
        <wp:inline distT="0" distB="0" distL="0" distR="0" wp14:anchorId="26219EE8" wp14:editId="7B0EFEF5">
          <wp:extent cx="1918335" cy="666750"/>
          <wp:effectExtent l="0" t="0" r="5715" b="0"/>
          <wp:docPr id="1" name="Immagine 1" descr="LOGOCON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NF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573A"/>
    <w:multiLevelType w:val="hybridMultilevel"/>
    <w:tmpl w:val="7EF87734"/>
    <w:lvl w:ilvl="0" w:tplc="A0C8AC9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3206D"/>
    <w:multiLevelType w:val="hybridMultilevel"/>
    <w:tmpl w:val="7DCEC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B2827"/>
    <w:multiLevelType w:val="hybridMultilevel"/>
    <w:tmpl w:val="93301124"/>
    <w:lvl w:ilvl="0" w:tplc="B74094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42769">
    <w:abstractNumId w:val="1"/>
  </w:num>
  <w:num w:numId="2" w16cid:durableId="1271280274">
    <w:abstractNumId w:val="0"/>
  </w:num>
  <w:num w:numId="3" w16cid:durableId="47462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54"/>
    <w:rsid w:val="00005F98"/>
    <w:rsid w:val="000252B3"/>
    <w:rsid w:val="000551AF"/>
    <w:rsid w:val="000915C7"/>
    <w:rsid w:val="000A1291"/>
    <w:rsid w:val="000B78F8"/>
    <w:rsid w:val="00120CC2"/>
    <w:rsid w:val="00174F0F"/>
    <w:rsid w:val="001A442F"/>
    <w:rsid w:val="001B7396"/>
    <w:rsid w:val="001C03ED"/>
    <w:rsid w:val="001C49FA"/>
    <w:rsid w:val="00205FC3"/>
    <w:rsid w:val="002E04D1"/>
    <w:rsid w:val="003E6B63"/>
    <w:rsid w:val="004C575E"/>
    <w:rsid w:val="004D3882"/>
    <w:rsid w:val="005E3A54"/>
    <w:rsid w:val="006035D0"/>
    <w:rsid w:val="006343C3"/>
    <w:rsid w:val="006D5E2B"/>
    <w:rsid w:val="00715CAC"/>
    <w:rsid w:val="007568BC"/>
    <w:rsid w:val="00762E95"/>
    <w:rsid w:val="00766A1A"/>
    <w:rsid w:val="007774DA"/>
    <w:rsid w:val="007C6933"/>
    <w:rsid w:val="007E3F4B"/>
    <w:rsid w:val="007F0D94"/>
    <w:rsid w:val="00832490"/>
    <w:rsid w:val="00855A78"/>
    <w:rsid w:val="00882BC3"/>
    <w:rsid w:val="008A442B"/>
    <w:rsid w:val="008C7741"/>
    <w:rsid w:val="008F691C"/>
    <w:rsid w:val="0091218B"/>
    <w:rsid w:val="00926FC3"/>
    <w:rsid w:val="00956584"/>
    <w:rsid w:val="0099478A"/>
    <w:rsid w:val="009B41EA"/>
    <w:rsid w:val="00A2775C"/>
    <w:rsid w:val="00A54320"/>
    <w:rsid w:val="00A7729D"/>
    <w:rsid w:val="00AC2A49"/>
    <w:rsid w:val="00AC5DF8"/>
    <w:rsid w:val="00AD4B2D"/>
    <w:rsid w:val="00AE1CBE"/>
    <w:rsid w:val="00B612D7"/>
    <w:rsid w:val="00B74227"/>
    <w:rsid w:val="00C41013"/>
    <w:rsid w:val="00C54F4F"/>
    <w:rsid w:val="00D54812"/>
    <w:rsid w:val="00D82D87"/>
    <w:rsid w:val="00DD67CD"/>
    <w:rsid w:val="00E17B8C"/>
    <w:rsid w:val="00E476A0"/>
    <w:rsid w:val="00E90E4B"/>
    <w:rsid w:val="00F137B9"/>
    <w:rsid w:val="00F35F89"/>
    <w:rsid w:val="00F4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98BE"/>
  <w15:chartTrackingRefBased/>
  <w15:docId w15:val="{447FE262-CB49-414D-A54B-DA4C7068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47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478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E3F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4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42B"/>
  </w:style>
  <w:style w:type="paragraph" w:styleId="Pidipagina">
    <w:name w:val="footer"/>
    <w:basedOn w:val="Normale"/>
    <w:link w:val="PidipaginaCarattere"/>
    <w:uiPriority w:val="99"/>
    <w:unhideWhenUsed/>
    <w:rsid w:val="008A4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934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Trere'</dc:creator>
  <cp:keywords/>
  <dc:description/>
  <cp:lastModifiedBy>Valeria Trere'</cp:lastModifiedBy>
  <cp:revision>55</cp:revision>
  <dcterms:created xsi:type="dcterms:W3CDTF">2023-03-05T16:45:00Z</dcterms:created>
  <dcterms:modified xsi:type="dcterms:W3CDTF">2023-03-05T21:39:00Z</dcterms:modified>
</cp:coreProperties>
</file>