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324A" w14:textId="1DC67C00" w:rsidR="00FB2459" w:rsidRDefault="00FB2459" w:rsidP="00FB2459">
      <w:pPr>
        <w:spacing w:after="120" w:line="20" w:lineRule="atLeast"/>
        <w:jc w:val="center"/>
        <w:rPr>
          <w:rFonts w:cstheme="minorHAnsi"/>
          <w:b/>
          <w:bCs/>
          <w:sz w:val="24"/>
          <w:szCs w:val="24"/>
        </w:rPr>
      </w:pPr>
      <w:r>
        <w:rPr>
          <w:rFonts w:cstheme="minorHAnsi"/>
          <w:b/>
          <w:bCs/>
          <w:sz w:val="24"/>
          <w:szCs w:val="24"/>
        </w:rPr>
        <w:t>MATERIALI ASSEMBLEA FAIB – SINTESI PER LA STAMPA</w:t>
      </w:r>
    </w:p>
    <w:p w14:paraId="0D4415C5" w14:textId="77777777" w:rsidR="00FB2459" w:rsidRDefault="00FB2459" w:rsidP="00DD43AC">
      <w:pPr>
        <w:spacing w:after="120" w:line="20" w:lineRule="atLeast"/>
        <w:rPr>
          <w:rFonts w:cstheme="minorHAnsi"/>
          <w:b/>
          <w:bCs/>
          <w:sz w:val="24"/>
          <w:szCs w:val="24"/>
        </w:rPr>
      </w:pPr>
    </w:p>
    <w:p w14:paraId="67ED126E" w14:textId="1A781ED8" w:rsidR="00DD43AC" w:rsidRPr="000511EA" w:rsidRDefault="00DD43AC" w:rsidP="00DD43AC">
      <w:pPr>
        <w:spacing w:after="120" w:line="20" w:lineRule="atLeast"/>
        <w:rPr>
          <w:rFonts w:cstheme="minorHAnsi"/>
          <w:b/>
          <w:bCs/>
          <w:sz w:val="24"/>
          <w:szCs w:val="24"/>
        </w:rPr>
      </w:pPr>
      <w:r w:rsidRPr="000511EA">
        <w:rPr>
          <w:rFonts w:cstheme="minorHAnsi"/>
          <w:b/>
          <w:bCs/>
          <w:sz w:val="24"/>
          <w:szCs w:val="24"/>
        </w:rPr>
        <w:t xml:space="preserve">Consumi benzina, diesel e </w:t>
      </w:r>
      <w:r w:rsidR="00B4077C" w:rsidRPr="000511EA">
        <w:rPr>
          <w:rFonts w:cstheme="minorHAnsi"/>
          <w:b/>
          <w:bCs/>
          <w:sz w:val="24"/>
          <w:szCs w:val="24"/>
        </w:rPr>
        <w:t>GPL</w:t>
      </w:r>
    </w:p>
    <w:p w14:paraId="0553A5E4" w14:textId="473AC4D4" w:rsidR="00BF531C" w:rsidRPr="000511EA" w:rsidRDefault="00BF531C" w:rsidP="00DD43AC">
      <w:pPr>
        <w:spacing w:after="120" w:line="20" w:lineRule="atLeast"/>
        <w:jc w:val="both"/>
        <w:rPr>
          <w:rFonts w:cstheme="minorHAnsi"/>
          <w:bCs/>
          <w:color w:val="000000" w:themeColor="text1"/>
          <w:sz w:val="24"/>
          <w:szCs w:val="24"/>
        </w:rPr>
      </w:pPr>
      <w:r w:rsidRPr="000511EA">
        <w:rPr>
          <w:rFonts w:cstheme="minorHAnsi"/>
          <w:b/>
          <w:color w:val="000000" w:themeColor="text1"/>
          <w:sz w:val="24"/>
          <w:szCs w:val="24"/>
        </w:rPr>
        <w:t>2022.</w:t>
      </w:r>
      <w:r w:rsidRPr="000511EA">
        <w:rPr>
          <w:rFonts w:cstheme="minorHAnsi"/>
          <w:bCs/>
          <w:color w:val="000000" w:themeColor="text1"/>
          <w:sz w:val="24"/>
          <w:szCs w:val="24"/>
        </w:rPr>
        <w:t xml:space="preserve"> </w:t>
      </w:r>
      <w:r w:rsidR="00DD43AC" w:rsidRPr="000511EA">
        <w:rPr>
          <w:rFonts w:cstheme="minorHAnsi"/>
          <w:bCs/>
          <w:color w:val="000000" w:themeColor="text1"/>
          <w:sz w:val="24"/>
          <w:szCs w:val="24"/>
        </w:rPr>
        <w:t>Il 2022 è stato l’anno della ripresa dei consumi dei carburanti stradali, finalmente tornati ai livelli del 2019, visto che il rimbalzo del 2021 non era stato sufficiente a coprire la caduta</w:t>
      </w:r>
      <w:r w:rsidRPr="000511EA">
        <w:rPr>
          <w:rFonts w:cstheme="minorHAnsi"/>
          <w:bCs/>
          <w:color w:val="000000" w:themeColor="text1"/>
          <w:sz w:val="24"/>
          <w:szCs w:val="24"/>
        </w:rPr>
        <w:t xml:space="preserve"> avvenuta durante la pandemia</w:t>
      </w:r>
      <w:r w:rsidR="00DD43AC" w:rsidRPr="000511EA">
        <w:rPr>
          <w:rFonts w:cstheme="minorHAnsi"/>
          <w:bCs/>
          <w:color w:val="000000" w:themeColor="text1"/>
          <w:sz w:val="24"/>
          <w:szCs w:val="24"/>
        </w:rPr>
        <w:t xml:space="preserve">. </w:t>
      </w:r>
      <w:r w:rsidR="00A445F8" w:rsidRPr="000511EA">
        <w:rPr>
          <w:rFonts w:cstheme="minorHAnsi"/>
          <w:bCs/>
          <w:color w:val="000000" w:themeColor="text1"/>
          <w:sz w:val="24"/>
          <w:szCs w:val="24"/>
        </w:rPr>
        <w:t xml:space="preserve">Rispetto al 2019, registrano </w:t>
      </w:r>
      <w:r w:rsidR="00DD43AC" w:rsidRPr="000511EA">
        <w:rPr>
          <w:rFonts w:cstheme="minorHAnsi"/>
          <w:bCs/>
          <w:color w:val="000000" w:themeColor="text1"/>
          <w:sz w:val="24"/>
          <w:szCs w:val="24"/>
        </w:rPr>
        <w:t>ancora una variazione negativa il gasolio sulla rete ordinaria (-</w:t>
      </w:r>
      <w:r w:rsidR="00F329B7" w:rsidRPr="000511EA">
        <w:rPr>
          <w:rFonts w:cstheme="minorHAnsi"/>
          <w:bCs/>
          <w:color w:val="000000" w:themeColor="text1"/>
          <w:sz w:val="24"/>
          <w:szCs w:val="24"/>
        </w:rPr>
        <w:t xml:space="preserve">111 </w:t>
      </w:r>
      <w:r w:rsidR="00DD43AC" w:rsidRPr="000511EA">
        <w:rPr>
          <w:rFonts w:cstheme="minorHAnsi"/>
          <w:bCs/>
          <w:color w:val="000000" w:themeColor="text1"/>
          <w:sz w:val="24"/>
          <w:szCs w:val="24"/>
        </w:rPr>
        <w:t xml:space="preserve">milioni di litri) e il </w:t>
      </w:r>
      <w:r w:rsidR="00B4077C" w:rsidRPr="000511EA">
        <w:rPr>
          <w:rFonts w:cstheme="minorHAnsi"/>
          <w:bCs/>
          <w:color w:val="000000" w:themeColor="text1"/>
          <w:sz w:val="24"/>
          <w:szCs w:val="24"/>
        </w:rPr>
        <w:t>GPL</w:t>
      </w:r>
      <w:r w:rsidR="00DD43AC" w:rsidRPr="000511EA">
        <w:rPr>
          <w:rFonts w:cstheme="minorHAnsi"/>
          <w:bCs/>
          <w:color w:val="000000" w:themeColor="text1"/>
          <w:sz w:val="24"/>
          <w:szCs w:val="24"/>
        </w:rPr>
        <w:t xml:space="preserve"> da autotrazione (-26</w:t>
      </w:r>
      <w:r w:rsidR="00F329B7" w:rsidRPr="000511EA">
        <w:rPr>
          <w:rFonts w:cstheme="minorHAnsi"/>
          <w:bCs/>
          <w:color w:val="000000" w:themeColor="text1"/>
          <w:sz w:val="24"/>
          <w:szCs w:val="24"/>
        </w:rPr>
        <w:t>6</w:t>
      </w:r>
      <w:r w:rsidR="00DD43AC" w:rsidRPr="000511EA">
        <w:rPr>
          <w:rFonts w:cstheme="minorHAnsi"/>
          <w:bCs/>
          <w:color w:val="000000" w:themeColor="text1"/>
          <w:sz w:val="24"/>
          <w:szCs w:val="24"/>
        </w:rPr>
        <w:t xml:space="preserve"> milioni di litri), bene i consumi di benzina soprattutto sulla rete ordinaria</w:t>
      </w:r>
      <w:r w:rsidR="00F329B7" w:rsidRPr="000511EA">
        <w:rPr>
          <w:rFonts w:cstheme="minorHAnsi"/>
          <w:bCs/>
          <w:color w:val="000000" w:themeColor="text1"/>
          <w:sz w:val="24"/>
          <w:szCs w:val="24"/>
        </w:rPr>
        <w:t xml:space="preserve"> (+850 milioni di litri)</w:t>
      </w:r>
      <w:r w:rsidR="00DD43AC" w:rsidRPr="000511EA">
        <w:rPr>
          <w:rFonts w:cstheme="minorHAnsi"/>
          <w:bCs/>
          <w:color w:val="000000" w:themeColor="text1"/>
          <w:sz w:val="24"/>
          <w:szCs w:val="24"/>
        </w:rPr>
        <w:t xml:space="preserve">. </w:t>
      </w:r>
    </w:p>
    <w:p w14:paraId="46C1C38D" w14:textId="6E51F3AB" w:rsidR="000511EA" w:rsidRPr="000511EA" w:rsidRDefault="00A445F8" w:rsidP="00DD43AC">
      <w:pPr>
        <w:spacing w:after="120" w:line="20" w:lineRule="atLeast"/>
        <w:jc w:val="both"/>
        <w:rPr>
          <w:rFonts w:cstheme="minorHAnsi"/>
          <w:bCs/>
          <w:color w:val="000000" w:themeColor="text1"/>
          <w:sz w:val="24"/>
          <w:szCs w:val="24"/>
        </w:rPr>
      </w:pPr>
      <w:r w:rsidRPr="000511EA">
        <w:rPr>
          <w:rFonts w:cstheme="minorHAnsi"/>
          <w:b/>
          <w:color w:val="000000" w:themeColor="text1"/>
          <w:sz w:val="24"/>
          <w:szCs w:val="24"/>
        </w:rPr>
        <w:t>2023.</w:t>
      </w:r>
      <w:r w:rsidRPr="000511EA">
        <w:rPr>
          <w:rFonts w:cstheme="minorHAnsi"/>
          <w:bCs/>
          <w:color w:val="000000" w:themeColor="text1"/>
          <w:sz w:val="24"/>
          <w:szCs w:val="24"/>
        </w:rPr>
        <w:t xml:space="preserve"> </w:t>
      </w:r>
      <w:r w:rsidR="00BF531C" w:rsidRPr="000511EA">
        <w:rPr>
          <w:rFonts w:cstheme="minorHAnsi"/>
          <w:bCs/>
          <w:color w:val="000000" w:themeColor="text1"/>
          <w:sz w:val="24"/>
          <w:szCs w:val="24"/>
        </w:rPr>
        <w:t xml:space="preserve">Anche nei </w:t>
      </w:r>
      <w:r w:rsidR="00DD43AC" w:rsidRPr="000511EA">
        <w:rPr>
          <w:rFonts w:cstheme="minorHAnsi"/>
          <w:bCs/>
          <w:color w:val="000000" w:themeColor="text1"/>
          <w:sz w:val="24"/>
          <w:szCs w:val="24"/>
        </w:rPr>
        <w:t>primi sette mesi del 2023 crescono i consumi dei carburanti sulla rete ordinaria</w:t>
      </w:r>
      <w:r w:rsidR="00F329B7" w:rsidRPr="000511EA">
        <w:rPr>
          <w:rFonts w:cstheme="minorHAnsi"/>
          <w:bCs/>
          <w:color w:val="000000" w:themeColor="text1"/>
          <w:sz w:val="24"/>
          <w:szCs w:val="24"/>
        </w:rPr>
        <w:t>, sia per la benzina (+431 milioni di litri rispetto allo stesso periodo del 2022)</w:t>
      </w:r>
      <w:r w:rsidR="00BF531C" w:rsidRPr="000511EA">
        <w:rPr>
          <w:rFonts w:cstheme="minorHAnsi"/>
          <w:bCs/>
          <w:color w:val="000000" w:themeColor="text1"/>
          <w:sz w:val="24"/>
          <w:szCs w:val="24"/>
        </w:rPr>
        <w:t>,</w:t>
      </w:r>
      <w:r w:rsidR="00F329B7" w:rsidRPr="000511EA">
        <w:rPr>
          <w:rFonts w:cstheme="minorHAnsi"/>
          <w:bCs/>
          <w:color w:val="000000" w:themeColor="text1"/>
          <w:sz w:val="24"/>
          <w:szCs w:val="24"/>
        </w:rPr>
        <w:t xml:space="preserve"> sia per gasolio e </w:t>
      </w:r>
      <w:r w:rsidR="00B4077C" w:rsidRPr="000511EA">
        <w:rPr>
          <w:rFonts w:cstheme="minorHAnsi"/>
          <w:bCs/>
          <w:color w:val="000000" w:themeColor="text1"/>
          <w:sz w:val="24"/>
          <w:szCs w:val="24"/>
        </w:rPr>
        <w:t>GPL</w:t>
      </w:r>
      <w:r w:rsidR="00F329B7" w:rsidRPr="000511EA">
        <w:rPr>
          <w:rFonts w:cstheme="minorHAnsi"/>
          <w:bCs/>
          <w:color w:val="000000" w:themeColor="text1"/>
          <w:sz w:val="24"/>
          <w:szCs w:val="24"/>
        </w:rPr>
        <w:t xml:space="preserve"> (rispettivamente +140 milioni e +21 milioni).</w:t>
      </w:r>
      <w:r w:rsidR="00BF531C" w:rsidRPr="000511EA">
        <w:rPr>
          <w:rFonts w:cstheme="minorHAnsi"/>
          <w:bCs/>
          <w:color w:val="000000" w:themeColor="text1"/>
          <w:sz w:val="24"/>
          <w:szCs w:val="24"/>
        </w:rPr>
        <w:t xml:space="preserve"> </w:t>
      </w:r>
      <w:r w:rsidR="00F329B7" w:rsidRPr="000511EA">
        <w:rPr>
          <w:rFonts w:cstheme="minorHAnsi"/>
          <w:bCs/>
          <w:color w:val="000000" w:themeColor="text1"/>
          <w:sz w:val="24"/>
          <w:szCs w:val="24"/>
        </w:rPr>
        <w:t xml:space="preserve">Si registra invece una </w:t>
      </w:r>
      <w:r w:rsidR="00BF531C" w:rsidRPr="000511EA">
        <w:rPr>
          <w:rFonts w:cstheme="minorHAnsi"/>
          <w:bCs/>
          <w:color w:val="000000" w:themeColor="text1"/>
          <w:sz w:val="24"/>
          <w:szCs w:val="24"/>
        </w:rPr>
        <w:t>diminuzione sull’</w:t>
      </w:r>
      <w:r w:rsidR="00DD43AC" w:rsidRPr="000511EA">
        <w:rPr>
          <w:rFonts w:cstheme="minorHAnsi"/>
          <w:bCs/>
          <w:color w:val="000000" w:themeColor="text1"/>
          <w:sz w:val="24"/>
          <w:szCs w:val="24"/>
        </w:rPr>
        <w:t>extra rete</w:t>
      </w:r>
      <w:r w:rsidR="00F329B7" w:rsidRPr="000511EA">
        <w:rPr>
          <w:rFonts w:cstheme="minorHAnsi"/>
          <w:bCs/>
          <w:color w:val="000000" w:themeColor="text1"/>
          <w:sz w:val="24"/>
          <w:szCs w:val="24"/>
        </w:rPr>
        <w:t>, (-8 milioni di litri per la benzina, -374 milioni per il gasolio).</w:t>
      </w:r>
    </w:p>
    <w:p w14:paraId="75117D90" w14:textId="26E93447" w:rsidR="00BF531C" w:rsidRPr="00B4077C" w:rsidRDefault="00F329B7" w:rsidP="00BF531C">
      <w:pPr>
        <w:spacing w:after="0"/>
        <w:rPr>
          <w:rFonts w:cstheme="minorHAnsi"/>
          <w:b/>
          <w:bCs/>
          <w:sz w:val="20"/>
          <w:szCs w:val="20"/>
        </w:rPr>
      </w:pPr>
      <w:r w:rsidRPr="00B4077C">
        <w:rPr>
          <w:rFonts w:cstheme="minorHAnsi"/>
          <w:b/>
          <w:bCs/>
          <w:sz w:val="20"/>
          <w:szCs w:val="20"/>
        </w:rPr>
        <w:t>Variazioni tendenziali e assolute dei consumi di alcuni prodotti petroliferi 2020-2021-2022 (mln di litri)</w:t>
      </w:r>
    </w:p>
    <w:tbl>
      <w:tblPr>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306"/>
        <w:gridCol w:w="1286"/>
        <w:gridCol w:w="1366"/>
        <w:gridCol w:w="1368"/>
      </w:tblGrid>
      <w:tr w:rsidR="00F329B7" w:rsidRPr="00B4077C" w14:paraId="6A4A3B60" w14:textId="0B08810B" w:rsidTr="00717309">
        <w:trPr>
          <w:trHeight w:val="486"/>
        </w:trPr>
        <w:tc>
          <w:tcPr>
            <w:tcW w:w="2271" w:type="dxa"/>
            <w:shd w:val="clear" w:color="auto" w:fill="auto"/>
            <w:noWrap/>
            <w:vAlign w:val="center"/>
            <w:hideMark/>
          </w:tcPr>
          <w:p w14:paraId="3B0AF8DF" w14:textId="77777777" w:rsidR="00F329B7" w:rsidRPr="00B4077C" w:rsidRDefault="00F329B7"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 </w:t>
            </w:r>
          </w:p>
        </w:tc>
        <w:tc>
          <w:tcPr>
            <w:tcW w:w="1306" w:type="dxa"/>
            <w:shd w:val="clear" w:color="auto" w:fill="auto"/>
            <w:noWrap/>
            <w:vAlign w:val="center"/>
            <w:hideMark/>
          </w:tcPr>
          <w:p w14:paraId="2EFA4AB8"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2020</w:t>
            </w:r>
          </w:p>
        </w:tc>
        <w:tc>
          <w:tcPr>
            <w:tcW w:w="1286" w:type="dxa"/>
            <w:shd w:val="clear" w:color="auto" w:fill="auto"/>
            <w:noWrap/>
            <w:vAlign w:val="center"/>
            <w:hideMark/>
          </w:tcPr>
          <w:p w14:paraId="5311482A"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2021</w:t>
            </w:r>
          </w:p>
        </w:tc>
        <w:tc>
          <w:tcPr>
            <w:tcW w:w="1366" w:type="dxa"/>
            <w:shd w:val="clear" w:color="auto" w:fill="auto"/>
            <w:noWrap/>
            <w:vAlign w:val="center"/>
            <w:hideMark/>
          </w:tcPr>
          <w:p w14:paraId="590A4C7F"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2022</w:t>
            </w:r>
          </w:p>
        </w:tc>
        <w:tc>
          <w:tcPr>
            <w:tcW w:w="1366" w:type="dxa"/>
          </w:tcPr>
          <w:p w14:paraId="4FAAB0ED"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 xml:space="preserve">Variazione </w:t>
            </w:r>
          </w:p>
          <w:p w14:paraId="604B2995" w14:textId="65E9EB3E" w:rsidR="00F329B7" w:rsidRPr="00B4077C" w:rsidRDefault="00F329B7" w:rsidP="00E61474">
            <w:pPr>
              <w:spacing w:after="0" w:line="20" w:lineRule="atLeast"/>
              <w:jc w:val="right"/>
              <w:rPr>
                <w:rFonts w:cstheme="minorHAnsi"/>
                <w:color w:val="000000"/>
                <w:sz w:val="20"/>
                <w:szCs w:val="20"/>
                <w:lang w:eastAsia="it-IT"/>
                <w14:ligatures w14:val="none"/>
              </w:rPr>
            </w:pPr>
            <w:r w:rsidRPr="00B4077C">
              <w:rPr>
                <w:rFonts w:cstheme="minorHAnsi"/>
                <w:color w:val="000000"/>
                <w:sz w:val="20"/>
                <w:szCs w:val="20"/>
                <w:lang w:eastAsia="it-IT"/>
                <w14:ligatures w14:val="none"/>
              </w:rPr>
              <w:t>2022-2019</w:t>
            </w:r>
          </w:p>
        </w:tc>
      </w:tr>
      <w:tr w:rsidR="00E61474" w:rsidRPr="00B4077C" w14:paraId="78C26DAB" w14:textId="3E8727E0" w:rsidTr="00717309">
        <w:trPr>
          <w:trHeight w:val="242"/>
        </w:trPr>
        <w:tc>
          <w:tcPr>
            <w:tcW w:w="2271" w:type="dxa"/>
            <w:shd w:val="clear" w:color="auto" w:fill="auto"/>
            <w:noWrap/>
            <w:vAlign w:val="center"/>
            <w:hideMark/>
          </w:tcPr>
          <w:p w14:paraId="3CD4C38B" w14:textId="77777777" w:rsidR="00E61474" w:rsidRPr="00B4077C" w:rsidRDefault="00E61474"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Benzina rete</w:t>
            </w:r>
          </w:p>
        </w:tc>
        <w:tc>
          <w:tcPr>
            <w:tcW w:w="1306" w:type="dxa"/>
            <w:shd w:val="clear" w:color="auto" w:fill="auto"/>
            <w:noWrap/>
            <w:vAlign w:val="bottom"/>
            <w:hideMark/>
          </w:tcPr>
          <w:p w14:paraId="495E7407" w14:textId="77777777"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-21,0%</w:t>
            </w:r>
          </w:p>
        </w:tc>
        <w:tc>
          <w:tcPr>
            <w:tcW w:w="1286" w:type="dxa"/>
            <w:shd w:val="clear" w:color="auto" w:fill="auto"/>
            <w:noWrap/>
            <w:vAlign w:val="bottom"/>
            <w:hideMark/>
          </w:tcPr>
          <w:p w14:paraId="479603CA" w14:textId="790B7593"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+22,3%</w:t>
            </w:r>
          </w:p>
        </w:tc>
        <w:tc>
          <w:tcPr>
            <w:tcW w:w="1366" w:type="dxa"/>
            <w:shd w:val="clear" w:color="auto" w:fill="auto"/>
            <w:noWrap/>
            <w:vAlign w:val="bottom"/>
            <w:hideMark/>
          </w:tcPr>
          <w:p w14:paraId="611C2EA7" w14:textId="6857ED8F"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+12,7%</w:t>
            </w:r>
          </w:p>
        </w:tc>
        <w:tc>
          <w:tcPr>
            <w:tcW w:w="1366" w:type="dxa"/>
            <w:vAlign w:val="center"/>
          </w:tcPr>
          <w:p w14:paraId="621181AF" w14:textId="032089E3" w:rsidR="00E61474" w:rsidRPr="00B4077C" w:rsidRDefault="00E61474"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+8,8%</w:t>
            </w:r>
          </w:p>
        </w:tc>
      </w:tr>
      <w:tr w:rsidR="00E61474" w:rsidRPr="00B4077C" w14:paraId="7954240F" w14:textId="54A8F116" w:rsidTr="00717309">
        <w:trPr>
          <w:trHeight w:val="242"/>
        </w:trPr>
        <w:tc>
          <w:tcPr>
            <w:tcW w:w="2271" w:type="dxa"/>
            <w:shd w:val="clear" w:color="auto" w:fill="auto"/>
            <w:noWrap/>
            <w:vAlign w:val="center"/>
            <w:hideMark/>
          </w:tcPr>
          <w:p w14:paraId="55F62E3C" w14:textId="77777777" w:rsidR="00E61474" w:rsidRPr="00B4077C" w:rsidRDefault="00E61474"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Benzina extra rete</w:t>
            </w:r>
          </w:p>
        </w:tc>
        <w:tc>
          <w:tcPr>
            <w:tcW w:w="1306" w:type="dxa"/>
            <w:shd w:val="clear" w:color="auto" w:fill="auto"/>
            <w:noWrap/>
            <w:vAlign w:val="bottom"/>
            <w:hideMark/>
          </w:tcPr>
          <w:p w14:paraId="60588A0A" w14:textId="77777777"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-28,5%</w:t>
            </w:r>
          </w:p>
        </w:tc>
        <w:tc>
          <w:tcPr>
            <w:tcW w:w="1286" w:type="dxa"/>
            <w:shd w:val="clear" w:color="auto" w:fill="auto"/>
            <w:noWrap/>
            <w:vAlign w:val="bottom"/>
            <w:hideMark/>
          </w:tcPr>
          <w:p w14:paraId="3FB47E18" w14:textId="47AA872E"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+31,5%</w:t>
            </w:r>
          </w:p>
        </w:tc>
        <w:tc>
          <w:tcPr>
            <w:tcW w:w="1366" w:type="dxa"/>
            <w:shd w:val="clear" w:color="auto" w:fill="auto"/>
            <w:noWrap/>
            <w:vAlign w:val="bottom"/>
            <w:hideMark/>
          </w:tcPr>
          <w:p w14:paraId="0A563E1B" w14:textId="76AD1051"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+13,6%</w:t>
            </w:r>
          </w:p>
        </w:tc>
        <w:tc>
          <w:tcPr>
            <w:tcW w:w="1366" w:type="dxa"/>
            <w:vAlign w:val="center"/>
          </w:tcPr>
          <w:p w14:paraId="7035C303" w14:textId="12567ED1" w:rsidR="00E61474" w:rsidRPr="00B4077C" w:rsidRDefault="00E61474"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+6,8%</w:t>
            </w:r>
          </w:p>
        </w:tc>
      </w:tr>
      <w:tr w:rsidR="00E61474" w:rsidRPr="00B4077C" w14:paraId="1D5FCDCB" w14:textId="59874B1D" w:rsidTr="00717309">
        <w:trPr>
          <w:trHeight w:val="242"/>
        </w:trPr>
        <w:tc>
          <w:tcPr>
            <w:tcW w:w="2271" w:type="dxa"/>
            <w:shd w:val="clear" w:color="auto" w:fill="auto"/>
            <w:noWrap/>
            <w:vAlign w:val="center"/>
            <w:hideMark/>
          </w:tcPr>
          <w:p w14:paraId="2BF83D66" w14:textId="77777777" w:rsidR="00E61474" w:rsidRPr="00B4077C" w:rsidRDefault="00E61474"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Gasolio rete</w:t>
            </w:r>
          </w:p>
        </w:tc>
        <w:tc>
          <w:tcPr>
            <w:tcW w:w="1306" w:type="dxa"/>
            <w:shd w:val="clear" w:color="auto" w:fill="auto"/>
            <w:noWrap/>
            <w:vAlign w:val="bottom"/>
            <w:hideMark/>
          </w:tcPr>
          <w:p w14:paraId="6D5845E6" w14:textId="77777777"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-19,8%</w:t>
            </w:r>
          </w:p>
        </w:tc>
        <w:tc>
          <w:tcPr>
            <w:tcW w:w="1286" w:type="dxa"/>
            <w:shd w:val="clear" w:color="auto" w:fill="auto"/>
            <w:noWrap/>
            <w:vAlign w:val="bottom"/>
            <w:hideMark/>
          </w:tcPr>
          <w:p w14:paraId="6E7E6C35" w14:textId="7410D66F"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+15,5%</w:t>
            </w:r>
          </w:p>
        </w:tc>
        <w:tc>
          <w:tcPr>
            <w:tcW w:w="1366" w:type="dxa"/>
            <w:shd w:val="clear" w:color="auto" w:fill="auto"/>
            <w:noWrap/>
            <w:vAlign w:val="bottom"/>
            <w:hideMark/>
          </w:tcPr>
          <w:p w14:paraId="030A1D93" w14:textId="1B0DACDB"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+7,3%</w:t>
            </w:r>
          </w:p>
        </w:tc>
        <w:tc>
          <w:tcPr>
            <w:tcW w:w="1366" w:type="dxa"/>
            <w:vAlign w:val="center"/>
          </w:tcPr>
          <w:p w14:paraId="36598FA5" w14:textId="4E2E2C07" w:rsidR="00E61474" w:rsidRPr="00B4077C" w:rsidRDefault="00E61474"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-0,6%</w:t>
            </w:r>
          </w:p>
        </w:tc>
      </w:tr>
      <w:tr w:rsidR="00E61474" w:rsidRPr="00B4077C" w14:paraId="5A88FF45" w14:textId="24E88D4D" w:rsidTr="00717309">
        <w:trPr>
          <w:trHeight w:val="242"/>
        </w:trPr>
        <w:tc>
          <w:tcPr>
            <w:tcW w:w="2271" w:type="dxa"/>
            <w:shd w:val="clear" w:color="auto" w:fill="auto"/>
            <w:noWrap/>
            <w:vAlign w:val="center"/>
            <w:hideMark/>
          </w:tcPr>
          <w:p w14:paraId="7F669CCA" w14:textId="77777777" w:rsidR="00E61474" w:rsidRPr="00B4077C" w:rsidRDefault="00E61474"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Gasolio extra rete</w:t>
            </w:r>
          </w:p>
        </w:tc>
        <w:tc>
          <w:tcPr>
            <w:tcW w:w="1306" w:type="dxa"/>
            <w:shd w:val="clear" w:color="auto" w:fill="auto"/>
            <w:noWrap/>
            <w:vAlign w:val="bottom"/>
            <w:hideMark/>
          </w:tcPr>
          <w:p w14:paraId="1E99EC7E" w14:textId="77777777"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-14,3%</w:t>
            </w:r>
          </w:p>
        </w:tc>
        <w:tc>
          <w:tcPr>
            <w:tcW w:w="1286" w:type="dxa"/>
            <w:shd w:val="clear" w:color="auto" w:fill="auto"/>
            <w:noWrap/>
            <w:vAlign w:val="bottom"/>
            <w:hideMark/>
          </w:tcPr>
          <w:p w14:paraId="12126209" w14:textId="44FF61A7"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+18,7%</w:t>
            </w:r>
          </w:p>
        </w:tc>
        <w:tc>
          <w:tcPr>
            <w:tcW w:w="1366" w:type="dxa"/>
            <w:shd w:val="clear" w:color="auto" w:fill="auto"/>
            <w:noWrap/>
            <w:vAlign w:val="bottom"/>
            <w:hideMark/>
          </w:tcPr>
          <w:p w14:paraId="6647B8F3" w14:textId="23DE1D10"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+0,9%</w:t>
            </w:r>
          </w:p>
        </w:tc>
        <w:tc>
          <w:tcPr>
            <w:tcW w:w="1366" w:type="dxa"/>
            <w:vAlign w:val="center"/>
          </w:tcPr>
          <w:p w14:paraId="08818D15" w14:textId="1B4BD7FF" w:rsidR="00E61474" w:rsidRPr="00B4077C" w:rsidRDefault="00E61474"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+2,6%</w:t>
            </w:r>
          </w:p>
        </w:tc>
      </w:tr>
      <w:tr w:rsidR="00E61474" w:rsidRPr="00B4077C" w14:paraId="6F60EB6A" w14:textId="6D0E0464" w:rsidTr="00717309">
        <w:trPr>
          <w:trHeight w:val="242"/>
        </w:trPr>
        <w:tc>
          <w:tcPr>
            <w:tcW w:w="2271" w:type="dxa"/>
            <w:shd w:val="clear" w:color="auto" w:fill="auto"/>
            <w:noWrap/>
            <w:vAlign w:val="center"/>
            <w:hideMark/>
          </w:tcPr>
          <w:p w14:paraId="54B5D69A" w14:textId="32996DBB" w:rsidR="00E61474" w:rsidRPr="00B4077C" w:rsidRDefault="00B4077C" w:rsidP="00E61474">
            <w:pPr>
              <w:spacing w:after="0" w:line="20" w:lineRule="atLeast"/>
              <w:rPr>
                <w:rFonts w:eastAsia="Times New Roman" w:cstheme="minorHAnsi"/>
                <w:sz w:val="20"/>
                <w:szCs w:val="20"/>
                <w:lang w:eastAsia="it-IT"/>
              </w:rPr>
            </w:pPr>
            <w:r>
              <w:rPr>
                <w:rFonts w:eastAsia="Times New Roman" w:cstheme="minorHAnsi"/>
                <w:sz w:val="20"/>
                <w:szCs w:val="20"/>
                <w:lang w:eastAsia="it-IT"/>
              </w:rPr>
              <w:t>GPL</w:t>
            </w:r>
          </w:p>
        </w:tc>
        <w:tc>
          <w:tcPr>
            <w:tcW w:w="1306" w:type="dxa"/>
            <w:shd w:val="clear" w:color="auto" w:fill="auto"/>
            <w:noWrap/>
            <w:vAlign w:val="bottom"/>
            <w:hideMark/>
          </w:tcPr>
          <w:p w14:paraId="5EF6B84C" w14:textId="77777777"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-20,8%</w:t>
            </w:r>
          </w:p>
        </w:tc>
        <w:tc>
          <w:tcPr>
            <w:tcW w:w="1286" w:type="dxa"/>
            <w:shd w:val="clear" w:color="auto" w:fill="auto"/>
            <w:noWrap/>
            <w:vAlign w:val="bottom"/>
            <w:hideMark/>
          </w:tcPr>
          <w:p w14:paraId="3A091A18" w14:textId="14520AEE"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+7,5%</w:t>
            </w:r>
          </w:p>
        </w:tc>
        <w:tc>
          <w:tcPr>
            <w:tcW w:w="1366" w:type="dxa"/>
            <w:shd w:val="clear" w:color="auto" w:fill="auto"/>
            <w:noWrap/>
            <w:vAlign w:val="bottom"/>
            <w:hideMark/>
          </w:tcPr>
          <w:p w14:paraId="0A3AE66F" w14:textId="2A79F5F9" w:rsidR="00E61474" w:rsidRPr="00B4077C" w:rsidRDefault="00E61474"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+7,8%</w:t>
            </w:r>
          </w:p>
        </w:tc>
        <w:tc>
          <w:tcPr>
            <w:tcW w:w="1366" w:type="dxa"/>
            <w:vAlign w:val="center"/>
          </w:tcPr>
          <w:p w14:paraId="4DCB5F26" w14:textId="4C70169E" w:rsidR="00E61474" w:rsidRPr="00B4077C" w:rsidRDefault="00E61474"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-8,2%</w:t>
            </w:r>
          </w:p>
        </w:tc>
      </w:tr>
      <w:tr w:rsidR="0088680E" w:rsidRPr="00B4077C" w14:paraId="137378BF" w14:textId="0E0E0129" w:rsidTr="00717309">
        <w:trPr>
          <w:trHeight w:val="191"/>
        </w:trPr>
        <w:tc>
          <w:tcPr>
            <w:tcW w:w="7597" w:type="dxa"/>
            <w:gridSpan w:val="5"/>
            <w:shd w:val="clear" w:color="auto" w:fill="auto"/>
            <w:noWrap/>
            <w:vAlign w:val="center"/>
          </w:tcPr>
          <w:p w14:paraId="4A4F38E4" w14:textId="77777777" w:rsidR="0088680E" w:rsidRPr="00B4077C" w:rsidRDefault="0088680E" w:rsidP="00E61474">
            <w:pPr>
              <w:spacing w:after="0" w:line="20" w:lineRule="atLeast"/>
              <w:jc w:val="right"/>
              <w:rPr>
                <w:rFonts w:eastAsia="Times New Roman" w:cstheme="minorHAnsi"/>
                <w:sz w:val="20"/>
                <w:szCs w:val="20"/>
                <w:lang w:eastAsia="it-IT"/>
              </w:rPr>
            </w:pPr>
          </w:p>
        </w:tc>
      </w:tr>
      <w:tr w:rsidR="00F329B7" w:rsidRPr="00B4077C" w14:paraId="7B257AB3" w14:textId="5C46691B" w:rsidTr="00717309">
        <w:trPr>
          <w:trHeight w:val="242"/>
        </w:trPr>
        <w:tc>
          <w:tcPr>
            <w:tcW w:w="2271" w:type="dxa"/>
            <w:shd w:val="clear" w:color="auto" w:fill="auto"/>
            <w:noWrap/>
            <w:vAlign w:val="center"/>
            <w:hideMark/>
          </w:tcPr>
          <w:p w14:paraId="4FEBF9FF" w14:textId="77777777" w:rsidR="00F329B7" w:rsidRPr="00B4077C" w:rsidRDefault="00F329B7"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Benzina rete</w:t>
            </w:r>
          </w:p>
        </w:tc>
        <w:tc>
          <w:tcPr>
            <w:tcW w:w="1306" w:type="dxa"/>
            <w:shd w:val="clear" w:color="auto" w:fill="auto"/>
            <w:noWrap/>
            <w:vAlign w:val="bottom"/>
            <w:hideMark/>
          </w:tcPr>
          <w:p w14:paraId="2AE297D6"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-2.020</w:t>
            </w:r>
          </w:p>
        </w:tc>
        <w:tc>
          <w:tcPr>
            <w:tcW w:w="1286" w:type="dxa"/>
            <w:shd w:val="clear" w:color="auto" w:fill="auto"/>
            <w:noWrap/>
            <w:vAlign w:val="bottom"/>
            <w:hideMark/>
          </w:tcPr>
          <w:p w14:paraId="51E7AB4E" w14:textId="35B5361A"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+1.689</w:t>
            </w:r>
          </w:p>
        </w:tc>
        <w:tc>
          <w:tcPr>
            <w:tcW w:w="1366" w:type="dxa"/>
            <w:shd w:val="clear" w:color="auto" w:fill="auto"/>
            <w:noWrap/>
            <w:vAlign w:val="bottom"/>
            <w:hideMark/>
          </w:tcPr>
          <w:p w14:paraId="3FA3C2E0" w14:textId="46D9A0D4"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+1.181</w:t>
            </w:r>
          </w:p>
        </w:tc>
        <w:tc>
          <w:tcPr>
            <w:tcW w:w="1366" w:type="dxa"/>
            <w:vAlign w:val="bottom"/>
          </w:tcPr>
          <w:p w14:paraId="143B0854" w14:textId="099011F1" w:rsidR="00F329B7" w:rsidRPr="00B4077C" w:rsidRDefault="00F329B7"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+850</w:t>
            </w:r>
          </w:p>
        </w:tc>
      </w:tr>
      <w:tr w:rsidR="00F329B7" w:rsidRPr="00B4077C" w14:paraId="7973DDBF" w14:textId="37BB37FD" w:rsidTr="00717309">
        <w:trPr>
          <w:trHeight w:val="242"/>
        </w:trPr>
        <w:tc>
          <w:tcPr>
            <w:tcW w:w="2271" w:type="dxa"/>
            <w:shd w:val="clear" w:color="auto" w:fill="auto"/>
            <w:noWrap/>
            <w:vAlign w:val="center"/>
            <w:hideMark/>
          </w:tcPr>
          <w:p w14:paraId="67E12707" w14:textId="77777777" w:rsidR="00F329B7" w:rsidRPr="00B4077C" w:rsidRDefault="00F329B7"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Benzina extra rete</w:t>
            </w:r>
          </w:p>
        </w:tc>
        <w:tc>
          <w:tcPr>
            <w:tcW w:w="1306" w:type="dxa"/>
            <w:shd w:val="clear" w:color="auto" w:fill="auto"/>
            <w:noWrap/>
            <w:vAlign w:val="bottom"/>
            <w:hideMark/>
          </w:tcPr>
          <w:p w14:paraId="43A31714"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-807</w:t>
            </w:r>
          </w:p>
        </w:tc>
        <w:tc>
          <w:tcPr>
            <w:tcW w:w="1286" w:type="dxa"/>
            <w:shd w:val="clear" w:color="auto" w:fill="auto"/>
            <w:noWrap/>
            <w:vAlign w:val="bottom"/>
            <w:hideMark/>
          </w:tcPr>
          <w:p w14:paraId="62B92471" w14:textId="03E95DE3"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+638</w:t>
            </w:r>
          </w:p>
        </w:tc>
        <w:tc>
          <w:tcPr>
            <w:tcW w:w="1366" w:type="dxa"/>
            <w:shd w:val="clear" w:color="auto" w:fill="auto"/>
            <w:noWrap/>
            <w:vAlign w:val="bottom"/>
            <w:hideMark/>
          </w:tcPr>
          <w:p w14:paraId="73B7FC82" w14:textId="5DDBC2C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+361</w:t>
            </w:r>
          </w:p>
        </w:tc>
        <w:tc>
          <w:tcPr>
            <w:tcW w:w="1366" w:type="dxa"/>
            <w:vAlign w:val="bottom"/>
          </w:tcPr>
          <w:p w14:paraId="245FA49A" w14:textId="770D0A16" w:rsidR="00F329B7" w:rsidRPr="00B4077C" w:rsidRDefault="00F329B7"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+192</w:t>
            </w:r>
          </w:p>
        </w:tc>
      </w:tr>
      <w:tr w:rsidR="00F329B7" w:rsidRPr="00B4077C" w14:paraId="280DB2DF" w14:textId="043A6A8F" w:rsidTr="00717309">
        <w:trPr>
          <w:trHeight w:val="242"/>
        </w:trPr>
        <w:tc>
          <w:tcPr>
            <w:tcW w:w="2271" w:type="dxa"/>
            <w:shd w:val="clear" w:color="auto" w:fill="auto"/>
            <w:noWrap/>
            <w:vAlign w:val="center"/>
            <w:hideMark/>
          </w:tcPr>
          <w:p w14:paraId="6D0EE1B1" w14:textId="77777777" w:rsidR="00F329B7" w:rsidRPr="00B4077C" w:rsidRDefault="00F329B7"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Gasolio rete</w:t>
            </w:r>
          </w:p>
        </w:tc>
        <w:tc>
          <w:tcPr>
            <w:tcW w:w="1306" w:type="dxa"/>
            <w:shd w:val="clear" w:color="auto" w:fill="auto"/>
            <w:noWrap/>
            <w:vAlign w:val="bottom"/>
            <w:hideMark/>
          </w:tcPr>
          <w:p w14:paraId="6EF5467F"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-3.639</w:t>
            </w:r>
          </w:p>
        </w:tc>
        <w:tc>
          <w:tcPr>
            <w:tcW w:w="1286" w:type="dxa"/>
            <w:shd w:val="clear" w:color="auto" w:fill="auto"/>
            <w:noWrap/>
            <w:vAlign w:val="bottom"/>
            <w:hideMark/>
          </w:tcPr>
          <w:p w14:paraId="529E7870" w14:textId="2AC38A29"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+2.288</w:t>
            </w:r>
          </w:p>
        </w:tc>
        <w:tc>
          <w:tcPr>
            <w:tcW w:w="1366" w:type="dxa"/>
            <w:shd w:val="clear" w:color="auto" w:fill="auto"/>
            <w:noWrap/>
            <w:vAlign w:val="bottom"/>
            <w:hideMark/>
          </w:tcPr>
          <w:p w14:paraId="247F35BC" w14:textId="24FB759D"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+1.240</w:t>
            </w:r>
          </w:p>
        </w:tc>
        <w:tc>
          <w:tcPr>
            <w:tcW w:w="1366" w:type="dxa"/>
            <w:vAlign w:val="bottom"/>
          </w:tcPr>
          <w:p w14:paraId="5016B5C8" w14:textId="53B84F83" w:rsidR="00F329B7" w:rsidRPr="00B4077C" w:rsidRDefault="00F329B7"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-111</w:t>
            </w:r>
          </w:p>
        </w:tc>
      </w:tr>
      <w:tr w:rsidR="00F329B7" w:rsidRPr="00B4077C" w14:paraId="56260844" w14:textId="12489E96" w:rsidTr="00717309">
        <w:trPr>
          <w:trHeight w:val="242"/>
        </w:trPr>
        <w:tc>
          <w:tcPr>
            <w:tcW w:w="2271" w:type="dxa"/>
            <w:shd w:val="clear" w:color="auto" w:fill="auto"/>
            <w:noWrap/>
            <w:vAlign w:val="center"/>
            <w:hideMark/>
          </w:tcPr>
          <w:p w14:paraId="3093CB43" w14:textId="77777777" w:rsidR="00F329B7" w:rsidRPr="00B4077C" w:rsidRDefault="00F329B7" w:rsidP="00E61474">
            <w:pPr>
              <w:spacing w:after="0" w:line="20" w:lineRule="atLeast"/>
              <w:rPr>
                <w:rFonts w:eastAsia="Times New Roman" w:cstheme="minorHAnsi"/>
                <w:sz w:val="20"/>
                <w:szCs w:val="20"/>
                <w:lang w:eastAsia="it-IT"/>
              </w:rPr>
            </w:pPr>
            <w:r w:rsidRPr="00B4077C">
              <w:rPr>
                <w:rFonts w:eastAsia="Times New Roman" w:cstheme="minorHAnsi"/>
                <w:sz w:val="20"/>
                <w:szCs w:val="20"/>
                <w:lang w:eastAsia="it-IT"/>
              </w:rPr>
              <w:t>Gasolio extra rete</w:t>
            </w:r>
          </w:p>
        </w:tc>
        <w:tc>
          <w:tcPr>
            <w:tcW w:w="1306" w:type="dxa"/>
            <w:shd w:val="clear" w:color="auto" w:fill="auto"/>
            <w:noWrap/>
            <w:vAlign w:val="bottom"/>
            <w:hideMark/>
          </w:tcPr>
          <w:p w14:paraId="30E9904C"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-1.892</w:t>
            </w:r>
          </w:p>
        </w:tc>
        <w:tc>
          <w:tcPr>
            <w:tcW w:w="1286" w:type="dxa"/>
            <w:shd w:val="clear" w:color="auto" w:fill="auto"/>
            <w:noWrap/>
            <w:vAlign w:val="bottom"/>
            <w:hideMark/>
          </w:tcPr>
          <w:p w14:paraId="0B518DFA" w14:textId="2A97FF51"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+2.120</w:t>
            </w:r>
          </w:p>
        </w:tc>
        <w:tc>
          <w:tcPr>
            <w:tcW w:w="1366" w:type="dxa"/>
            <w:shd w:val="clear" w:color="auto" w:fill="auto"/>
            <w:noWrap/>
            <w:vAlign w:val="bottom"/>
            <w:hideMark/>
          </w:tcPr>
          <w:p w14:paraId="52C0658B" w14:textId="10B904D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+121</w:t>
            </w:r>
          </w:p>
        </w:tc>
        <w:tc>
          <w:tcPr>
            <w:tcW w:w="1366" w:type="dxa"/>
            <w:vAlign w:val="bottom"/>
          </w:tcPr>
          <w:p w14:paraId="06F8ADAC" w14:textId="4A48EF65" w:rsidR="00F329B7" w:rsidRPr="00B4077C" w:rsidRDefault="00F329B7"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+349</w:t>
            </w:r>
          </w:p>
        </w:tc>
      </w:tr>
      <w:tr w:rsidR="00F329B7" w:rsidRPr="00B4077C" w14:paraId="61204528" w14:textId="0D2B5669" w:rsidTr="00717309">
        <w:trPr>
          <w:trHeight w:val="242"/>
        </w:trPr>
        <w:tc>
          <w:tcPr>
            <w:tcW w:w="2271" w:type="dxa"/>
            <w:shd w:val="clear" w:color="auto" w:fill="auto"/>
            <w:noWrap/>
            <w:vAlign w:val="center"/>
            <w:hideMark/>
          </w:tcPr>
          <w:p w14:paraId="0C17F22C" w14:textId="58A0888E" w:rsidR="00F329B7" w:rsidRPr="00B4077C" w:rsidRDefault="00B4077C" w:rsidP="00E61474">
            <w:pPr>
              <w:spacing w:after="0" w:line="20" w:lineRule="atLeast"/>
              <w:rPr>
                <w:rFonts w:eastAsia="Times New Roman" w:cstheme="minorHAnsi"/>
                <w:sz w:val="20"/>
                <w:szCs w:val="20"/>
                <w:lang w:eastAsia="it-IT"/>
              </w:rPr>
            </w:pPr>
            <w:r>
              <w:rPr>
                <w:rFonts w:eastAsia="Times New Roman" w:cstheme="minorHAnsi"/>
                <w:sz w:val="20"/>
                <w:szCs w:val="20"/>
                <w:lang w:eastAsia="it-IT"/>
              </w:rPr>
              <w:t>GPL</w:t>
            </w:r>
          </w:p>
        </w:tc>
        <w:tc>
          <w:tcPr>
            <w:tcW w:w="1306" w:type="dxa"/>
            <w:shd w:val="clear" w:color="auto" w:fill="auto"/>
            <w:noWrap/>
            <w:vAlign w:val="bottom"/>
            <w:hideMark/>
          </w:tcPr>
          <w:p w14:paraId="0DB230D1" w14:textId="77777777"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-674</w:t>
            </w:r>
          </w:p>
        </w:tc>
        <w:tc>
          <w:tcPr>
            <w:tcW w:w="1286" w:type="dxa"/>
            <w:shd w:val="clear" w:color="auto" w:fill="auto"/>
            <w:noWrap/>
            <w:vAlign w:val="bottom"/>
            <w:hideMark/>
          </w:tcPr>
          <w:p w14:paraId="08078990" w14:textId="242A97A6"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+192</w:t>
            </w:r>
          </w:p>
        </w:tc>
        <w:tc>
          <w:tcPr>
            <w:tcW w:w="1366" w:type="dxa"/>
            <w:shd w:val="clear" w:color="auto" w:fill="auto"/>
            <w:noWrap/>
            <w:vAlign w:val="bottom"/>
            <w:hideMark/>
          </w:tcPr>
          <w:p w14:paraId="2434FF4E" w14:textId="11089140" w:rsidR="00F329B7" w:rsidRPr="00B4077C" w:rsidRDefault="00F329B7" w:rsidP="00E61474">
            <w:pPr>
              <w:spacing w:after="0" w:line="20" w:lineRule="atLeast"/>
              <w:jc w:val="right"/>
              <w:rPr>
                <w:rFonts w:eastAsia="Times New Roman" w:cstheme="minorHAnsi"/>
                <w:sz w:val="20"/>
                <w:szCs w:val="20"/>
                <w:lang w:eastAsia="it-IT"/>
              </w:rPr>
            </w:pPr>
            <w:r w:rsidRPr="00B4077C">
              <w:rPr>
                <w:rFonts w:eastAsia="Times New Roman" w:cstheme="minorHAnsi"/>
                <w:sz w:val="20"/>
                <w:szCs w:val="20"/>
                <w:lang w:eastAsia="it-IT"/>
              </w:rPr>
              <w:t>+216</w:t>
            </w:r>
          </w:p>
        </w:tc>
        <w:tc>
          <w:tcPr>
            <w:tcW w:w="1366" w:type="dxa"/>
            <w:vAlign w:val="bottom"/>
          </w:tcPr>
          <w:p w14:paraId="529EB317" w14:textId="0A3760FA" w:rsidR="00F329B7" w:rsidRPr="00B4077C" w:rsidRDefault="00F329B7" w:rsidP="00E61474">
            <w:pPr>
              <w:spacing w:after="0" w:line="20" w:lineRule="atLeast"/>
              <w:jc w:val="right"/>
              <w:rPr>
                <w:rFonts w:eastAsia="Times New Roman" w:cstheme="minorHAnsi"/>
                <w:sz w:val="20"/>
                <w:szCs w:val="20"/>
                <w:lang w:eastAsia="it-IT"/>
              </w:rPr>
            </w:pPr>
            <w:r w:rsidRPr="00B4077C">
              <w:rPr>
                <w:rFonts w:cstheme="minorHAnsi"/>
                <w:color w:val="000000"/>
                <w:sz w:val="20"/>
                <w:szCs w:val="20"/>
                <w:lang w:eastAsia="it-IT"/>
                <w14:ligatures w14:val="none"/>
              </w:rPr>
              <w:t>-266</w:t>
            </w:r>
          </w:p>
        </w:tc>
      </w:tr>
    </w:tbl>
    <w:p w14:paraId="4221BCBE" w14:textId="77777777" w:rsidR="000511EA" w:rsidRDefault="00BF531C" w:rsidP="000511EA">
      <w:pPr>
        <w:spacing w:after="0"/>
        <w:jc w:val="both"/>
        <w:rPr>
          <w:rFonts w:cstheme="minorHAnsi"/>
          <w:sz w:val="20"/>
          <w:szCs w:val="20"/>
        </w:rPr>
      </w:pPr>
      <w:r w:rsidRPr="00B4077C">
        <w:rPr>
          <w:rFonts w:cstheme="minorHAnsi"/>
          <w:sz w:val="20"/>
          <w:szCs w:val="20"/>
        </w:rPr>
        <w:t xml:space="preserve">Fonte: Elaborazioni Confesercenti FAIB su dati </w:t>
      </w:r>
      <w:r w:rsidR="00C243CD" w:rsidRPr="00B4077C">
        <w:rPr>
          <w:rFonts w:cstheme="minorHAnsi"/>
          <w:sz w:val="20"/>
          <w:szCs w:val="20"/>
        </w:rPr>
        <w:t>MIMIT</w:t>
      </w:r>
    </w:p>
    <w:p w14:paraId="03C1C91D" w14:textId="7621F51E" w:rsidR="00F329B7" w:rsidRPr="000511EA" w:rsidRDefault="006F5A40" w:rsidP="000511EA">
      <w:pPr>
        <w:spacing w:after="0"/>
        <w:jc w:val="both"/>
        <w:rPr>
          <w:rFonts w:cstheme="minorHAnsi"/>
          <w:sz w:val="20"/>
          <w:szCs w:val="20"/>
        </w:rPr>
      </w:pPr>
      <w:r>
        <w:rPr>
          <w:rFonts w:cstheme="minorHAnsi"/>
          <w:b/>
          <w:bCs/>
          <w:sz w:val="20"/>
          <w:szCs w:val="20"/>
        </w:rPr>
        <w:br/>
      </w:r>
      <w:r w:rsidR="00F329B7" w:rsidRPr="00B4077C">
        <w:rPr>
          <w:rFonts w:cstheme="minorHAnsi"/>
          <w:b/>
          <w:bCs/>
          <w:sz w:val="20"/>
          <w:szCs w:val="20"/>
        </w:rPr>
        <w:t>Variazioni tendenziali e assolute dei consumi di alcuni prodotti petroliferi nei primi sette mesi del 2023 rispetto allo stesso periodo del 2022</w:t>
      </w:r>
    </w:p>
    <w:tbl>
      <w:tblPr>
        <w:tblW w:w="7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74"/>
        <w:gridCol w:w="1635"/>
      </w:tblGrid>
      <w:tr w:rsidR="00F329B7" w:rsidRPr="00B4077C" w14:paraId="659E7B1F" w14:textId="77777777" w:rsidTr="00717309">
        <w:trPr>
          <w:trHeight w:val="501"/>
        </w:trPr>
        <w:tc>
          <w:tcPr>
            <w:tcW w:w="5974" w:type="dxa"/>
            <w:shd w:val="clear" w:color="auto" w:fill="auto"/>
            <w:noWrap/>
            <w:vAlign w:val="center"/>
            <w:hideMark/>
          </w:tcPr>
          <w:p w14:paraId="3C4D1AAD"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 </w:t>
            </w:r>
          </w:p>
        </w:tc>
        <w:tc>
          <w:tcPr>
            <w:tcW w:w="1635" w:type="dxa"/>
            <w:shd w:val="clear" w:color="auto" w:fill="auto"/>
            <w:vAlign w:val="center"/>
            <w:hideMark/>
          </w:tcPr>
          <w:p w14:paraId="75054113" w14:textId="624327BA" w:rsidR="00F329B7" w:rsidRPr="00B4077C" w:rsidRDefault="00E61474"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 xml:space="preserve">Var. </w:t>
            </w:r>
            <w:proofErr w:type="spellStart"/>
            <w:r w:rsidRPr="00B4077C">
              <w:rPr>
                <w:rFonts w:eastAsia="Times New Roman" w:cstheme="minorHAnsi"/>
                <w:b/>
                <w:bCs/>
                <w:sz w:val="20"/>
                <w:szCs w:val="20"/>
                <w:lang w:eastAsia="it-IT"/>
              </w:rPr>
              <w:t>gen-lug</w:t>
            </w:r>
            <w:proofErr w:type="spellEnd"/>
            <w:r w:rsidRPr="00B4077C">
              <w:rPr>
                <w:rFonts w:eastAsia="Times New Roman" w:cstheme="minorHAnsi"/>
                <w:b/>
                <w:bCs/>
                <w:sz w:val="20"/>
                <w:szCs w:val="20"/>
                <w:lang w:eastAsia="it-IT"/>
              </w:rPr>
              <w:t xml:space="preserve"> </w:t>
            </w:r>
            <w:r w:rsidR="00F329B7" w:rsidRPr="00B4077C">
              <w:rPr>
                <w:rFonts w:eastAsia="Times New Roman" w:cstheme="minorHAnsi"/>
                <w:b/>
                <w:bCs/>
                <w:sz w:val="20"/>
                <w:szCs w:val="20"/>
                <w:lang w:eastAsia="it-IT"/>
              </w:rPr>
              <w:t>2023</w:t>
            </w:r>
            <w:r w:rsidRPr="00B4077C">
              <w:rPr>
                <w:rFonts w:eastAsia="Times New Roman" w:cstheme="minorHAnsi"/>
                <w:b/>
                <w:bCs/>
                <w:sz w:val="20"/>
                <w:szCs w:val="20"/>
                <w:lang w:eastAsia="it-IT"/>
              </w:rPr>
              <w:t>/</w:t>
            </w:r>
            <w:r w:rsidR="00056DFC" w:rsidRPr="00B4077C">
              <w:rPr>
                <w:rFonts w:eastAsia="Times New Roman" w:cstheme="minorHAnsi"/>
                <w:b/>
                <w:bCs/>
                <w:sz w:val="20"/>
                <w:szCs w:val="20"/>
                <w:lang w:eastAsia="it-IT"/>
              </w:rPr>
              <w:t xml:space="preserve"> </w:t>
            </w:r>
            <w:r w:rsidRPr="00B4077C">
              <w:rPr>
                <w:rFonts w:eastAsia="Times New Roman" w:cstheme="minorHAnsi"/>
                <w:b/>
                <w:bCs/>
                <w:sz w:val="20"/>
                <w:szCs w:val="20"/>
                <w:lang w:eastAsia="it-IT"/>
              </w:rPr>
              <w:t>202</w:t>
            </w:r>
            <w:r w:rsidR="00056DFC" w:rsidRPr="00B4077C">
              <w:rPr>
                <w:rFonts w:eastAsia="Times New Roman" w:cstheme="minorHAnsi"/>
                <w:b/>
                <w:bCs/>
                <w:sz w:val="20"/>
                <w:szCs w:val="20"/>
                <w:lang w:eastAsia="it-IT"/>
              </w:rPr>
              <w:t>2</w:t>
            </w:r>
          </w:p>
        </w:tc>
      </w:tr>
      <w:tr w:rsidR="00F329B7" w:rsidRPr="00B4077C" w14:paraId="7451737E" w14:textId="77777777" w:rsidTr="00717309">
        <w:trPr>
          <w:trHeight w:val="248"/>
        </w:trPr>
        <w:tc>
          <w:tcPr>
            <w:tcW w:w="5974" w:type="dxa"/>
            <w:shd w:val="clear" w:color="auto" w:fill="auto"/>
            <w:noWrap/>
            <w:vAlign w:val="center"/>
            <w:hideMark/>
          </w:tcPr>
          <w:p w14:paraId="0BE652F8"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Benzina rete</w:t>
            </w:r>
          </w:p>
        </w:tc>
        <w:tc>
          <w:tcPr>
            <w:tcW w:w="1635" w:type="dxa"/>
            <w:shd w:val="clear" w:color="auto" w:fill="auto"/>
            <w:noWrap/>
            <w:vAlign w:val="bottom"/>
            <w:hideMark/>
          </w:tcPr>
          <w:p w14:paraId="1E09AD7E"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+7,4%</w:t>
            </w:r>
          </w:p>
        </w:tc>
      </w:tr>
      <w:tr w:rsidR="00F329B7" w:rsidRPr="00B4077C" w14:paraId="7F84511D" w14:textId="77777777" w:rsidTr="00717309">
        <w:trPr>
          <w:trHeight w:val="248"/>
        </w:trPr>
        <w:tc>
          <w:tcPr>
            <w:tcW w:w="5974" w:type="dxa"/>
            <w:shd w:val="clear" w:color="auto" w:fill="auto"/>
            <w:noWrap/>
            <w:vAlign w:val="center"/>
            <w:hideMark/>
          </w:tcPr>
          <w:p w14:paraId="73C895DE"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Benzina extra rete</w:t>
            </w:r>
          </w:p>
        </w:tc>
        <w:tc>
          <w:tcPr>
            <w:tcW w:w="1635" w:type="dxa"/>
            <w:shd w:val="clear" w:color="auto" w:fill="auto"/>
            <w:noWrap/>
            <w:vAlign w:val="bottom"/>
            <w:hideMark/>
          </w:tcPr>
          <w:p w14:paraId="712A5178"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-0,4%</w:t>
            </w:r>
          </w:p>
        </w:tc>
      </w:tr>
      <w:tr w:rsidR="00F329B7" w:rsidRPr="00B4077C" w14:paraId="11DCF146" w14:textId="77777777" w:rsidTr="00717309">
        <w:trPr>
          <w:trHeight w:val="248"/>
        </w:trPr>
        <w:tc>
          <w:tcPr>
            <w:tcW w:w="5974" w:type="dxa"/>
            <w:shd w:val="clear" w:color="auto" w:fill="auto"/>
            <w:noWrap/>
            <w:vAlign w:val="center"/>
            <w:hideMark/>
          </w:tcPr>
          <w:p w14:paraId="1228D4BA"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Gasolio rete</w:t>
            </w:r>
          </w:p>
        </w:tc>
        <w:tc>
          <w:tcPr>
            <w:tcW w:w="1635" w:type="dxa"/>
            <w:shd w:val="clear" w:color="auto" w:fill="auto"/>
            <w:noWrap/>
            <w:vAlign w:val="bottom"/>
            <w:hideMark/>
          </w:tcPr>
          <w:p w14:paraId="43759B8B"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+1,3%</w:t>
            </w:r>
          </w:p>
        </w:tc>
      </w:tr>
      <w:tr w:rsidR="00F329B7" w:rsidRPr="00B4077C" w14:paraId="184CEDA3" w14:textId="77777777" w:rsidTr="00717309">
        <w:trPr>
          <w:trHeight w:val="248"/>
        </w:trPr>
        <w:tc>
          <w:tcPr>
            <w:tcW w:w="5974" w:type="dxa"/>
            <w:shd w:val="clear" w:color="auto" w:fill="auto"/>
            <w:noWrap/>
            <w:vAlign w:val="center"/>
            <w:hideMark/>
          </w:tcPr>
          <w:p w14:paraId="6420D2BC"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Gasolio extra rete</w:t>
            </w:r>
          </w:p>
        </w:tc>
        <w:tc>
          <w:tcPr>
            <w:tcW w:w="1635" w:type="dxa"/>
            <w:shd w:val="clear" w:color="auto" w:fill="auto"/>
            <w:noWrap/>
            <w:vAlign w:val="bottom"/>
            <w:hideMark/>
          </w:tcPr>
          <w:p w14:paraId="5A415B00"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-4,7%</w:t>
            </w:r>
          </w:p>
        </w:tc>
      </w:tr>
      <w:tr w:rsidR="00F329B7" w:rsidRPr="00B4077C" w14:paraId="35DECCC7" w14:textId="77777777" w:rsidTr="00717309">
        <w:trPr>
          <w:trHeight w:val="248"/>
        </w:trPr>
        <w:tc>
          <w:tcPr>
            <w:tcW w:w="5974" w:type="dxa"/>
            <w:shd w:val="clear" w:color="auto" w:fill="auto"/>
            <w:noWrap/>
            <w:vAlign w:val="center"/>
            <w:hideMark/>
          </w:tcPr>
          <w:p w14:paraId="5A454980" w14:textId="1BA7D794" w:rsidR="00F329B7" w:rsidRPr="00B4077C" w:rsidRDefault="00B4077C" w:rsidP="00E61474">
            <w:pPr>
              <w:spacing w:after="0" w:line="240" w:lineRule="auto"/>
              <w:rPr>
                <w:rFonts w:eastAsia="Times New Roman" w:cstheme="minorHAnsi"/>
                <w:sz w:val="20"/>
                <w:szCs w:val="20"/>
                <w:lang w:eastAsia="it-IT"/>
              </w:rPr>
            </w:pPr>
            <w:r>
              <w:rPr>
                <w:rFonts w:eastAsia="Times New Roman" w:cstheme="minorHAnsi"/>
                <w:sz w:val="20"/>
                <w:szCs w:val="20"/>
                <w:lang w:eastAsia="it-IT"/>
              </w:rPr>
              <w:t>GPL</w:t>
            </w:r>
          </w:p>
        </w:tc>
        <w:tc>
          <w:tcPr>
            <w:tcW w:w="1635" w:type="dxa"/>
            <w:shd w:val="clear" w:color="auto" w:fill="auto"/>
            <w:noWrap/>
            <w:vAlign w:val="bottom"/>
            <w:hideMark/>
          </w:tcPr>
          <w:p w14:paraId="2F2191B0"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+1,3%</w:t>
            </w:r>
          </w:p>
        </w:tc>
      </w:tr>
      <w:tr w:rsidR="00F329B7" w:rsidRPr="00B4077C" w14:paraId="19677F21" w14:textId="77777777" w:rsidTr="00717309">
        <w:trPr>
          <w:trHeight w:val="248"/>
        </w:trPr>
        <w:tc>
          <w:tcPr>
            <w:tcW w:w="5974" w:type="dxa"/>
            <w:shd w:val="clear" w:color="auto" w:fill="auto"/>
            <w:noWrap/>
            <w:vAlign w:val="center"/>
          </w:tcPr>
          <w:p w14:paraId="3F62BED7" w14:textId="77777777" w:rsidR="00F329B7" w:rsidRPr="00B4077C" w:rsidRDefault="00F329B7" w:rsidP="00E61474">
            <w:pPr>
              <w:spacing w:after="0" w:line="240" w:lineRule="auto"/>
              <w:rPr>
                <w:rFonts w:eastAsia="Times New Roman" w:cstheme="minorHAnsi"/>
                <w:sz w:val="20"/>
                <w:szCs w:val="20"/>
                <w:lang w:eastAsia="it-IT"/>
              </w:rPr>
            </w:pPr>
          </w:p>
        </w:tc>
        <w:tc>
          <w:tcPr>
            <w:tcW w:w="1635" w:type="dxa"/>
            <w:shd w:val="clear" w:color="auto" w:fill="auto"/>
            <w:noWrap/>
            <w:vAlign w:val="bottom"/>
          </w:tcPr>
          <w:p w14:paraId="4A40220F" w14:textId="77777777" w:rsidR="00F329B7" w:rsidRPr="00B4077C" w:rsidRDefault="00F329B7" w:rsidP="00E61474">
            <w:pPr>
              <w:spacing w:after="0" w:line="240" w:lineRule="auto"/>
              <w:rPr>
                <w:rFonts w:eastAsia="Times New Roman" w:cstheme="minorHAnsi"/>
                <w:sz w:val="20"/>
                <w:szCs w:val="20"/>
                <w:lang w:eastAsia="it-IT"/>
              </w:rPr>
            </w:pPr>
          </w:p>
        </w:tc>
      </w:tr>
      <w:tr w:rsidR="00F329B7" w:rsidRPr="00B4077C" w14:paraId="2E5BCC15" w14:textId="77777777" w:rsidTr="00717309">
        <w:trPr>
          <w:trHeight w:val="248"/>
        </w:trPr>
        <w:tc>
          <w:tcPr>
            <w:tcW w:w="5974" w:type="dxa"/>
            <w:shd w:val="clear" w:color="auto" w:fill="auto"/>
            <w:noWrap/>
            <w:vAlign w:val="center"/>
            <w:hideMark/>
          </w:tcPr>
          <w:p w14:paraId="3284DB1F"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Benzina rete</w:t>
            </w:r>
          </w:p>
        </w:tc>
        <w:tc>
          <w:tcPr>
            <w:tcW w:w="1635" w:type="dxa"/>
            <w:shd w:val="clear" w:color="auto" w:fill="auto"/>
            <w:noWrap/>
            <w:vAlign w:val="bottom"/>
            <w:hideMark/>
          </w:tcPr>
          <w:p w14:paraId="2DD70EB4"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+431</w:t>
            </w:r>
          </w:p>
        </w:tc>
      </w:tr>
      <w:tr w:rsidR="00F329B7" w:rsidRPr="00B4077C" w14:paraId="08DA02E1" w14:textId="77777777" w:rsidTr="00717309">
        <w:trPr>
          <w:trHeight w:val="248"/>
        </w:trPr>
        <w:tc>
          <w:tcPr>
            <w:tcW w:w="5974" w:type="dxa"/>
            <w:shd w:val="clear" w:color="auto" w:fill="auto"/>
            <w:noWrap/>
            <w:vAlign w:val="center"/>
            <w:hideMark/>
          </w:tcPr>
          <w:p w14:paraId="12B1206B"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Benzina extra rete</w:t>
            </w:r>
          </w:p>
        </w:tc>
        <w:tc>
          <w:tcPr>
            <w:tcW w:w="1635" w:type="dxa"/>
            <w:shd w:val="clear" w:color="auto" w:fill="auto"/>
            <w:noWrap/>
            <w:vAlign w:val="bottom"/>
            <w:hideMark/>
          </w:tcPr>
          <w:p w14:paraId="303553BB"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-8</w:t>
            </w:r>
          </w:p>
        </w:tc>
      </w:tr>
      <w:tr w:rsidR="00F329B7" w:rsidRPr="00B4077C" w14:paraId="096BC2ED" w14:textId="77777777" w:rsidTr="00717309">
        <w:trPr>
          <w:trHeight w:val="248"/>
        </w:trPr>
        <w:tc>
          <w:tcPr>
            <w:tcW w:w="5974" w:type="dxa"/>
            <w:shd w:val="clear" w:color="auto" w:fill="auto"/>
            <w:noWrap/>
            <w:vAlign w:val="center"/>
            <w:hideMark/>
          </w:tcPr>
          <w:p w14:paraId="2EAD3254"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Gasolio rete</w:t>
            </w:r>
          </w:p>
        </w:tc>
        <w:tc>
          <w:tcPr>
            <w:tcW w:w="1635" w:type="dxa"/>
            <w:shd w:val="clear" w:color="auto" w:fill="auto"/>
            <w:noWrap/>
            <w:vAlign w:val="bottom"/>
            <w:hideMark/>
          </w:tcPr>
          <w:p w14:paraId="45708A05"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+140</w:t>
            </w:r>
          </w:p>
        </w:tc>
      </w:tr>
      <w:tr w:rsidR="00F329B7" w:rsidRPr="00B4077C" w14:paraId="7B45898C" w14:textId="77777777" w:rsidTr="00717309">
        <w:trPr>
          <w:trHeight w:val="248"/>
        </w:trPr>
        <w:tc>
          <w:tcPr>
            <w:tcW w:w="5974" w:type="dxa"/>
            <w:shd w:val="clear" w:color="auto" w:fill="auto"/>
            <w:noWrap/>
            <w:vAlign w:val="center"/>
            <w:hideMark/>
          </w:tcPr>
          <w:p w14:paraId="0621C12A" w14:textId="77777777" w:rsidR="00F329B7" w:rsidRPr="00B4077C" w:rsidRDefault="00F329B7" w:rsidP="00E61474">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Gasolio extra rete</w:t>
            </w:r>
          </w:p>
        </w:tc>
        <w:tc>
          <w:tcPr>
            <w:tcW w:w="1635" w:type="dxa"/>
            <w:shd w:val="clear" w:color="auto" w:fill="auto"/>
            <w:noWrap/>
            <w:vAlign w:val="bottom"/>
            <w:hideMark/>
          </w:tcPr>
          <w:p w14:paraId="57FC0B2C"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-374</w:t>
            </w:r>
          </w:p>
        </w:tc>
      </w:tr>
      <w:tr w:rsidR="00F329B7" w:rsidRPr="00B4077C" w14:paraId="20F5AAA3" w14:textId="77777777" w:rsidTr="00717309">
        <w:trPr>
          <w:trHeight w:val="248"/>
        </w:trPr>
        <w:tc>
          <w:tcPr>
            <w:tcW w:w="5974" w:type="dxa"/>
            <w:shd w:val="clear" w:color="auto" w:fill="auto"/>
            <w:noWrap/>
            <w:vAlign w:val="center"/>
            <w:hideMark/>
          </w:tcPr>
          <w:p w14:paraId="35BAB5A6" w14:textId="3245332C" w:rsidR="00F329B7" w:rsidRPr="00B4077C" w:rsidRDefault="00B4077C" w:rsidP="00E61474">
            <w:pPr>
              <w:spacing w:after="0" w:line="240" w:lineRule="auto"/>
              <w:rPr>
                <w:rFonts w:eastAsia="Times New Roman" w:cstheme="minorHAnsi"/>
                <w:sz w:val="20"/>
                <w:szCs w:val="20"/>
                <w:lang w:eastAsia="it-IT"/>
              </w:rPr>
            </w:pPr>
            <w:r>
              <w:rPr>
                <w:rFonts w:eastAsia="Times New Roman" w:cstheme="minorHAnsi"/>
                <w:sz w:val="20"/>
                <w:szCs w:val="20"/>
                <w:lang w:eastAsia="it-IT"/>
              </w:rPr>
              <w:t>GPL</w:t>
            </w:r>
          </w:p>
        </w:tc>
        <w:tc>
          <w:tcPr>
            <w:tcW w:w="1635" w:type="dxa"/>
            <w:shd w:val="clear" w:color="auto" w:fill="auto"/>
            <w:noWrap/>
            <w:vAlign w:val="bottom"/>
            <w:hideMark/>
          </w:tcPr>
          <w:p w14:paraId="56D76976" w14:textId="77777777" w:rsidR="00F329B7" w:rsidRPr="00B4077C" w:rsidRDefault="00F329B7" w:rsidP="00E61474">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+21</w:t>
            </w:r>
          </w:p>
        </w:tc>
      </w:tr>
    </w:tbl>
    <w:p w14:paraId="40250F87" w14:textId="78310814" w:rsidR="00F329B7" w:rsidRPr="00B4077C" w:rsidRDefault="00F329B7" w:rsidP="00F329B7">
      <w:pPr>
        <w:spacing w:after="0"/>
        <w:jc w:val="both"/>
        <w:rPr>
          <w:rFonts w:cstheme="minorHAnsi"/>
          <w:sz w:val="20"/>
          <w:szCs w:val="20"/>
        </w:rPr>
      </w:pPr>
      <w:r w:rsidRPr="00B4077C">
        <w:rPr>
          <w:rFonts w:cstheme="minorHAnsi"/>
          <w:sz w:val="20"/>
          <w:szCs w:val="20"/>
        </w:rPr>
        <w:t xml:space="preserve">Fonte: Elaborazioni Confesercenti FAIB su dati </w:t>
      </w:r>
      <w:r w:rsidR="00C243CD" w:rsidRPr="00B4077C">
        <w:rPr>
          <w:rFonts w:cstheme="minorHAnsi"/>
          <w:sz w:val="20"/>
          <w:szCs w:val="20"/>
        </w:rPr>
        <w:t>MIMIT</w:t>
      </w:r>
    </w:p>
    <w:p w14:paraId="0B9FEFBB" w14:textId="77777777" w:rsidR="00F329B7" w:rsidRPr="00B4077C" w:rsidRDefault="00F329B7" w:rsidP="00F329B7">
      <w:pPr>
        <w:spacing w:after="120" w:line="20" w:lineRule="atLeast"/>
        <w:jc w:val="both"/>
        <w:rPr>
          <w:rFonts w:cstheme="minorHAnsi"/>
          <w:bCs/>
          <w:color w:val="FF0000"/>
        </w:rPr>
      </w:pPr>
    </w:p>
    <w:p w14:paraId="5EFDF431" w14:textId="4692A613" w:rsidR="00E61474" w:rsidRPr="000511EA" w:rsidRDefault="00E61474" w:rsidP="00E61474">
      <w:pPr>
        <w:spacing w:after="0" w:line="360" w:lineRule="auto"/>
        <w:jc w:val="both"/>
        <w:rPr>
          <w:rFonts w:cstheme="minorHAnsi"/>
          <w:b/>
          <w:sz w:val="24"/>
          <w:szCs w:val="24"/>
        </w:rPr>
      </w:pPr>
      <w:r w:rsidRPr="000511EA">
        <w:rPr>
          <w:rFonts w:cstheme="minorHAnsi"/>
          <w:b/>
          <w:sz w:val="24"/>
          <w:szCs w:val="24"/>
        </w:rPr>
        <w:t>Andamento dei prezzi</w:t>
      </w:r>
    </w:p>
    <w:p w14:paraId="640E39DE" w14:textId="12E5177A" w:rsidR="00E61474" w:rsidRPr="000511EA" w:rsidRDefault="00E61474" w:rsidP="00E61474">
      <w:pPr>
        <w:spacing w:after="120" w:line="276" w:lineRule="auto"/>
        <w:jc w:val="both"/>
        <w:rPr>
          <w:rFonts w:cstheme="minorHAnsi"/>
          <w:b/>
          <w:sz w:val="24"/>
          <w:szCs w:val="24"/>
        </w:rPr>
      </w:pPr>
      <w:r w:rsidRPr="000511EA">
        <w:rPr>
          <w:rFonts w:cstheme="minorHAnsi"/>
          <w:b/>
          <w:sz w:val="24"/>
          <w:szCs w:val="24"/>
        </w:rPr>
        <w:lastRenderedPageBreak/>
        <w:t xml:space="preserve">2022. </w:t>
      </w:r>
      <w:r w:rsidRPr="000511EA">
        <w:rPr>
          <w:rFonts w:cstheme="minorHAnsi"/>
          <w:bCs/>
          <w:sz w:val="24"/>
          <w:szCs w:val="24"/>
        </w:rPr>
        <w:t>Nel 2022 si è registrato un forte aumento dei prezzi della benzina e del gasolio</w:t>
      </w:r>
      <w:r w:rsidR="00D134F7" w:rsidRPr="000511EA">
        <w:rPr>
          <w:rFonts w:cstheme="minorHAnsi"/>
          <w:bCs/>
          <w:sz w:val="24"/>
          <w:szCs w:val="24"/>
        </w:rPr>
        <w:t>, sia industriali</w:t>
      </w:r>
      <w:r w:rsidRPr="000511EA">
        <w:rPr>
          <w:rFonts w:cstheme="minorHAnsi"/>
          <w:bCs/>
          <w:sz w:val="24"/>
          <w:szCs w:val="24"/>
        </w:rPr>
        <w:t xml:space="preserve"> </w:t>
      </w:r>
      <w:r w:rsidR="00D134F7" w:rsidRPr="000511EA">
        <w:rPr>
          <w:rFonts w:cstheme="minorHAnsi"/>
          <w:bCs/>
          <w:sz w:val="24"/>
          <w:szCs w:val="24"/>
        </w:rPr>
        <w:t xml:space="preserve">- </w:t>
      </w:r>
      <w:r w:rsidRPr="000511EA">
        <w:rPr>
          <w:rFonts w:cstheme="minorHAnsi"/>
          <w:bCs/>
          <w:sz w:val="24"/>
          <w:szCs w:val="24"/>
        </w:rPr>
        <w:t>rispettivamente del 56% e del 76%</w:t>
      </w:r>
      <w:r w:rsidR="00165A5D">
        <w:rPr>
          <w:rFonts w:cstheme="minorHAnsi"/>
          <w:bCs/>
          <w:sz w:val="24"/>
          <w:szCs w:val="24"/>
        </w:rPr>
        <w:t>,</w:t>
      </w:r>
      <w:r w:rsidR="00D134F7" w:rsidRPr="000511EA">
        <w:rPr>
          <w:rFonts w:cstheme="minorHAnsi"/>
          <w:bCs/>
          <w:sz w:val="24"/>
          <w:szCs w:val="24"/>
        </w:rPr>
        <w:t xml:space="preserve"> rispetto all’anno precedente - </w:t>
      </w:r>
      <w:r w:rsidRPr="000511EA">
        <w:rPr>
          <w:rFonts w:cstheme="minorHAnsi"/>
          <w:bCs/>
          <w:sz w:val="24"/>
          <w:szCs w:val="24"/>
        </w:rPr>
        <w:t xml:space="preserve">sia al consumo </w:t>
      </w:r>
      <w:r w:rsidR="00D134F7" w:rsidRPr="000511EA">
        <w:rPr>
          <w:rFonts w:cstheme="minorHAnsi"/>
          <w:bCs/>
          <w:sz w:val="24"/>
          <w:szCs w:val="24"/>
        </w:rPr>
        <w:t>(+</w:t>
      </w:r>
      <w:r w:rsidRPr="000511EA">
        <w:rPr>
          <w:rFonts w:cstheme="minorHAnsi"/>
          <w:bCs/>
          <w:sz w:val="24"/>
          <w:szCs w:val="24"/>
        </w:rPr>
        <w:t xml:space="preserve">11% e </w:t>
      </w:r>
      <w:r w:rsidR="00D134F7" w:rsidRPr="000511EA">
        <w:rPr>
          <w:rFonts w:cstheme="minorHAnsi"/>
          <w:bCs/>
          <w:sz w:val="24"/>
          <w:szCs w:val="24"/>
        </w:rPr>
        <w:t>+</w:t>
      </w:r>
      <w:r w:rsidRPr="000511EA">
        <w:rPr>
          <w:rFonts w:cstheme="minorHAnsi"/>
          <w:bCs/>
          <w:sz w:val="24"/>
          <w:szCs w:val="24"/>
        </w:rPr>
        <w:t>22%</w:t>
      </w:r>
      <w:r w:rsidR="00D134F7" w:rsidRPr="000511EA">
        <w:rPr>
          <w:rFonts w:cstheme="minorHAnsi"/>
          <w:bCs/>
          <w:sz w:val="24"/>
          <w:szCs w:val="24"/>
        </w:rPr>
        <w:t>)</w:t>
      </w:r>
      <w:r w:rsidRPr="000511EA">
        <w:rPr>
          <w:rFonts w:cstheme="minorHAnsi"/>
          <w:bCs/>
          <w:sz w:val="24"/>
          <w:szCs w:val="24"/>
        </w:rPr>
        <w:t xml:space="preserve">. </w:t>
      </w:r>
      <w:r w:rsidR="00D134F7" w:rsidRPr="000511EA">
        <w:rPr>
          <w:rFonts w:cstheme="minorHAnsi"/>
          <w:bCs/>
          <w:sz w:val="24"/>
          <w:szCs w:val="24"/>
        </w:rPr>
        <w:t>Per alleviare l’impatto dei rialzi, i</w:t>
      </w:r>
      <w:r w:rsidRPr="000511EA">
        <w:rPr>
          <w:rFonts w:cstheme="minorHAnsi"/>
          <w:bCs/>
          <w:sz w:val="24"/>
          <w:szCs w:val="24"/>
        </w:rPr>
        <w:t xml:space="preserve">l 21 marzo 2022 il decreto-legge del governo Draghi denominato “Misure urgenti per contrastare gli effetti economici e umanitari della crisi ucraina” ha previsto un intervento sul prezzo dei carburanti: sono state così ridotte le accise su benzina e gasolio di 0,25 €/litro, con un effetto complessivo con l’Iva pari a 0,305 €/litro e sul </w:t>
      </w:r>
      <w:r w:rsidR="00B4077C" w:rsidRPr="000511EA">
        <w:rPr>
          <w:rFonts w:cstheme="minorHAnsi"/>
          <w:bCs/>
          <w:sz w:val="24"/>
          <w:szCs w:val="24"/>
        </w:rPr>
        <w:t>GPL</w:t>
      </w:r>
      <w:r w:rsidRPr="000511EA">
        <w:rPr>
          <w:rFonts w:cstheme="minorHAnsi"/>
          <w:bCs/>
          <w:sz w:val="24"/>
          <w:szCs w:val="24"/>
        </w:rPr>
        <w:t xml:space="preserve"> di 0,085 centesimi, con un effetto di 0,104 €/litro. Per il metano autotrazione, dal 3 maggio al 31 dicembre 2022 l’accisa è stata totalmente sospesa e l’IVA è stata ridotta dal 22 al 5 per cento. Misure che complessivamente sono costate circa 9,1 miliardi di euro pari allo 0,5 per cento del prodotto interno nazionale, finanziato per quasi il 40 per cento (3,54 miliardi di euro) dal maggior gettito IVA</w:t>
      </w:r>
      <w:r w:rsidR="00165A5D">
        <w:rPr>
          <w:rFonts w:cstheme="minorHAnsi"/>
          <w:bCs/>
          <w:sz w:val="24"/>
          <w:szCs w:val="24"/>
        </w:rPr>
        <w:t>,</w:t>
      </w:r>
      <w:r w:rsidRPr="000511EA">
        <w:rPr>
          <w:rFonts w:cstheme="minorHAnsi"/>
          <w:bCs/>
          <w:sz w:val="24"/>
          <w:szCs w:val="24"/>
        </w:rPr>
        <w:t xml:space="preserve"> generato dall’aumento del costo della materia prima.</w:t>
      </w:r>
      <w:r w:rsidRPr="000511EA">
        <w:rPr>
          <w:rFonts w:cstheme="minorHAnsi"/>
          <w:b/>
          <w:sz w:val="24"/>
          <w:szCs w:val="24"/>
        </w:rPr>
        <w:t xml:space="preserve"> </w:t>
      </w:r>
    </w:p>
    <w:p w14:paraId="4479DFE6" w14:textId="79C26BEC" w:rsidR="0088680E" w:rsidRPr="000511EA" w:rsidRDefault="00E61474" w:rsidP="00B4077C">
      <w:pPr>
        <w:jc w:val="both"/>
        <w:rPr>
          <w:rFonts w:cstheme="minorHAnsi"/>
          <w:sz w:val="24"/>
          <w:szCs w:val="24"/>
        </w:rPr>
      </w:pPr>
      <w:r w:rsidRPr="000511EA">
        <w:rPr>
          <w:rFonts w:cstheme="minorHAnsi"/>
          <w:b/>
          <w:sz w:val="24"/>
          <w:szCs w:val="24"/>
        </w:rPr>
        <w:t xml:space="preserve">2023. </w:t>
      </w:r>
      <w:r w:rsidRPr="000511EA">
        <w:rPr>
          <w:rFonts w:cstheme="minorHAnsi"/>
          <w:bCs/>
          <w:sz w:val="24"/>
          <w:szCs w:val="24"/>
        </w:rPr>
        <w:t>A partire dal 1° gennaio 2023 il regime di accise è tornato a quello precedete il 22 marzo 2022</w:t>
      </w:r>
      <w:r w:rsidR="00D134F7" w:rsidRPr="000511EA">
        <w:rPr>
          <w:rFonts w:cstheme="minorHAnsi"/>
          <w:bCs/>
          <w:sz w:val="24"/>
          <w:szCs w:val="24"/>
        </w:rPr>
        <w:t xml:space="preserve">, ed i prezzi al consumo dei carburanti sono tornati a salire. </w:t>
      </w:r>
      <w:r w:rsidR="0088680E" w:rsidRPr="000511EA">
        <w:rPr>
          <w:rFonts w:cstheme="minorHAnsi"/>
          <w:sz w:val="24"/>
          <w:szCs w:val="24"/>
        </w:rPr>
        <w:t>In particolare, nel mese di agosto, i prezzi dei carburanti sono aumentati del +9,5% (benzina) e +2,7% (gasolio)</w:t>
      </w:r>
      <w:r w:rsidR="00165A5D">
        <w:rPr>
          <w:rFonts w:cstheme="minorHAnsi"/>
          <w:sz w:val="24"/>
          <w:szCs w:val="24"/>
        </w:rPr>
        <w:t>,</w:t>
      </w:r>
      <w:r w:rsidR="0088680E" w:rsidRPr="000511EA">
        <w:rPr>
          <w:rFonts w:cstheme="minorHAnsi"/>
          <w:sz w:val="24"/>
          <w:szCs w:val="24"/>
        </w:rPr>
        <w:t xml:space="preserve"> rispetto allo stesso mese del 2022. </w:t>
      </w:r>
      <w:r w:rsidR="009F7D7F" w:rsidRPr="000511EA">
        <w:rPr>
          <w:rFonts w:cstheme="minorHAnsi"/>
          <w:sz w:val="24"/>
          <w:szCs w:val="24"/>
        </w:rPr>
        <w:t xml:space="preserve">Il </w:t>
      </w:r>
      <w:r w:rsidR="00B4077C" w:rsidRPr="000511EA">
        <w:rPr>
          <w:rFonts w:cstheme="minorHAnsi"/>
          <w:sz w:val="24"/>
          <w:szCs w:val="24"/>
        </w:rPr>
        <w:t>GPL</w:t>
      </w:r>
      <w:r w:rsidR="009F7D7F" w:rsidRPr="000511EA">
        <w:rPr>
          <w:rFonts w:cstheme="minorHAnsi"/>
          <w:sz w:val="24"/>
          <w:szCs w:val="24"/>
        </w:rPr>
        <w:t xml:space="preserve"> ha invece registrato una diminuzione del -11,5%.</w:t>
      </w:r>
    </w:p>
    <w:p w14:paraId="50FAB8C7" w14:textId="41F06ACE" w:rsidR="0088680E" w:rsidRPr="00B4077C" w:rsidRDefault="009F7D7F" w:rsidP="00717309">
      <w:pPr>
        <w:spacing w:after="0"/>
        <w:rPr>
          <w:rFonts w:cstheme="minorHAnsi"/>
          <w:b/>
          <w:bCs/>
          <w:sz w:val="20"/>
          <w:szCs w:val="20"/>
        </w:rPr>
      </w:pPr>
      <w:r w:rsidRPr="00B4077C">
        <w:rPr>
          <w:rFonts w:cstheme="minorHAnsi"/>
          <w:b/>
          <w:bCs/>
          <w:sz w:val="20"/>
          <w:szCs w:val="20"/>
        </w:rPr>
        <w:t>Prezzo carburanti agosto, confronto agosto 2023 – agosto 2022</w:t>
      </w:r>
    </w:p>
    <w:tbl>
      <w:tblPr>
        <w:tblStyle w:val="Grigliatabella"/>
        <w:tblW w:w="0" w:type="auto"/>
        <w:tblInd w:w="108" w:type="dxa"/>
        <w:tblLook w:val="04A0" w:firstRow="1" w:lastRow="0" w:firstColumn="1" w:lastColumn="0" w:noHBand="0" w:noVBand="1"/>
      </w:tblPr>
      <w:tblGrid>
        <w:gridCol w:w="1752"/>
        <w:gridCol w:w="1834"/>
        <w:gridCol w:w="1834"/>
        <w:gridCol w:w="1834"/>
      </w:tblGrid>
      <w:tr w:rsidR="009F7D7F" w:rsidRPr="00B4077C" w14:paraId="7E06356E" w14:textId="77777777" w:rsidTr="00717309">
        <w:trPr>
          <w:trHeight w:val="284"/>
        </w:trPr>
        <w:tc>
          <w:tcPr>
            <w:tcW w:w="1752" w:type="dxa"/>
          </w:tcPr>
          <w:p w14:paraId="551B483C" w14:textId="77777777" w:rsidR="009F7D7F" w:rsidRPr="00B4077C" w:rsidRDefault="009F7D7F" w:rsidP="0088680E">
            <w:pPr>
              <w:rPr>
                <w:rFonts w:cstheme="minorHAnsi"/>
                <w:sz w:val="20"/>
                <w:szCs w:val="20"/>
              </w:rPr>
            </w:pPr>
          </w:p>
        </w:tc>
        <w:tc>
          <w:tcPr>
            <w:tcW w:w="1834" w:type="dxa"/>
          </w:tcPr>
          <w:p w14:paraId="12AF00FD" w14:textId="5514F098" w:rsidR="009F7D7F" w:rsidRPr="00B4077C" w:rsidRDefault="009F7D7F" w:rsidP="009F7D7F">
            <w:pPr>
              <w:jc w:val="center"/>
              <w:rPr>
                <w:rFonts w:cstheme="minorHAnsi"/>
                <w:b/>
                <w:bCs/>
                <w:sz w:val="20"/>
                <w:szCs w:val="20"/>
              </w:rPr>
            </w:pPr>
            <w:r w:rsidRPr="00B4077C">
              <w:rPr>
                <w:rFonts w:cstheme="minorHAnsi"/>
                <w:b/>
                <w:bCs/>
                <w:sz w:val="20"/>
                <w:szCs w:val="20"/>
              </w:rPr>
              <w:t>2023</w:t>
            </w:r>
          </w:p>
        </w:tc>
        <w:tc>
          <w:tcPr>
            <w:tcW w:w="1834" w:type="dxa"/>
          </w:tcPr>
          <w:p w14:paraId="5EC59F8F" w14:textId="14341CAD" w:rsidR="009F7D7F" w:rsidRPr="00B4077C" w:rsidRDefault="009F7D7F" w:rsidP="009F7D7F">
            <w:pPr>
              <w:jc w:val="center"/>
              <w:rPr>
                <w:rFonts w:cstheme="minorHAnsi"/>
                <w:b/>
                <w:bCs/>
                <w:sz w:val="20"/>
                <w:szCs w:val="20"/>
              </w:rPr>
            </w:pPr>
            <w:r w:rsidRPr="00B4077C">
              <w:rPr>
                <w:rFonts w:cstheme="minorHAnsi"/>
                <w:b/>
                <w:bCs/>
                <w:sz w:val="20"/>
                <w:szCs w:val="20"/>
              </w:rPr>
              <w:t>2022</w:t>
            </w:r>
          </w:p>
        </w:tc>
        <w:tc>
          <w:tcPr>
            <w:tcW w:w="1834" w:type="dxa"/>
          </w:tcPr>
          <w:p w14:paraId="5E870CE2" w14:textId="579CEDFB" w:rsidR="009F7D7F" w:rsidRPr="00B4077C" w:rsidRDefault="009F7D7F" w:rsidP="009F7D7F">
            <w:pPr>
              <w:jc w:val="center"/>
              <w:rPr>
                <w:rFonts w:cstheme="minorHAnsi"/>
                <w:b/>
                <w:bCs/>
                <w:sz w:val="20"/>
                <w:szCs w:val="20"/>
              </w:rPr>
            </w:pPr>
            <w:r w:rsidRPr="00B4077C">
              <w:rPr>
                <w:rFonts w:cstheme="minorHAnsi"/>
                <w:b/>
                <w:bCs/>
                <w:sz w:val="20"/>
                <w:szCs w:val="20"/>
              </w:rPr>
              <w:t>Diff ago 2023/2022</w:t>
            </w:r>
          </w:p>
        </w:tc>
      </w:tr>
      <w:tr w:rsidR="009F7D7F" w:rsidRPr="00B4077C" w14:paraId="2C4A8A80" w14:textId="77777777" w:rsidTr="00717309">
        <w:trPr>
          <w:trHeight w:val="268"/>
        </w:trPr>
        <w:tc>
          <w:tcPr>
            <w:tcW w:w="1752" w:type="dxa"/>
          </w:tcPr>
          <w:p w14:paraId="4F3CBC6A" w14:textId="22ECBB76" w:rsidR="009F7D7F" w:rsidRPr="00B4077C" w:rsidRDefault="009F7D7F" w:rsidP="0088680E">
            <w:pPr>
              <w:rPr>
                <w:rFonts w:cstheme="minorHAnsi"/>
                <w:sz w:val="20"/>
                <w:szCs w:val="20"/>
              </w:rPr>
            </w:pPr>
            <w:r w:rsidRPr="00B4077C">
              <w:rPr>
                <w:rFonts w:cstheme="minorHAnsi"/>
                <w:sz w:val="20"/>
                <w:szCs w:val="20"/>
              </w:rPr>
              <w:t>Benzina</w:t>
            </w:r>
          </w:p>
        </w:tc>
        <w:tc>
          <w:tcPr>
            <w:tcW w:w="1834" w:type="dxa"/>
          </w:tcPr>
          <w:p w14:paraId="6815074C" w14:textId="0EC76681" w:rsidR="009F7D7F" w:rsidRPr="00B4077C" w:rsidRDefault="009F7D7F" w:rsidP="009F7D7F">
            <w:pPr>
              <w:jc w:val="center"/>
              <w:rPr>
                <w:rFonts w:cstheme="minorHAnsi"/>
                <w:sz w:val="20"/>
                <w:szCs w:val="20"/>
              </w:rPr>
            </w:pPr>
            <w:r w:rsidRPr="00B4077C">
              <w:rPr>
                <w:rFonts w:cstheme="minorHAnsi"/>
                <w:sz w:val="20"/>
                <w:szCs w:val="20"/>
              </w:rPr>
              <w:t>1,943</w:t>
            </w:r>
          </w:p>
        </w:tc>
        <w:tc>
          <w:tcPr>
            <w:tcW w:w="1834" w:type="dxa"/>
          </w:tcPr>
          <w:p w14:paraId="09C5D1D1" w14:textId="3C5F2009" w:rsidR="009F7D7F" w:rsidRPr="00B4077C" w:rsidRDefault="009F7D7F" w:rsidP="009F7D7F">
            <w:pPr>
              <w:jc w:val="center"/>
              <w:rPr>
                <w:rFonts w:cstheme="minorHAnsi"/>
                <w:sz w:val="20"/>
                <w:szCs w:val="20"/>
              </w:rPr>
            </w:pPr>
            <w:r w:rsidRPr="00B4077C">
              <w:rPr>
                <w:rFonts w:cstheme="minorHAnsi"/>
                <w:sz w:val="20"/>
                <w:szCs w:val="20"/>
              </w:rPr>
              <w:t>1,775</w:t>
            </w:r>
          </w:p>
        </w:tc>
        <w:tc>
          <w:tcPr>
            <w:tcW w:w="1834" w:type="dxa"/>
          </w:tcPr>
          <w:p w14:paraId="050F054A" w14:textId="2D1AAC5E" w:rsidR="009F7D7F" w:rsidRPr="00B4077C" w:rsidRDefault="009F7D7F" w:rsidP="009F7D7F">
            <w:pPr>
              <w:jc w:val="center"/>
              <w:rPr>
                <w:rFonts w:cstheme="minorHAnsi"/>
                <w:sz w:val="20"/>
                <w:szCs w:val="20"/>
              </w:rPr>
            </w:pPr>
            <w:r w:rsidRPr="00B4077C">
              <w:rPr>
                <w:rFonts w:cstheme="minorHAnsi"/>
                <w:sz w:val="20"/>
                <w:szCs w:val="20"/>
              </w:rPr>
              <w:t>+9,5%</w:t>
            </w:r>
          </w:p>
        </w:tc>
      </w:tr>
      <w:tr w:rsidR="009F7D7F" w:rsidRPr="00B4077C" w14:paraId="7B2F6B2B" w14:textId="77777777" w:rsidTr="00717309">
        <w:trPr>
          <w:trHeight w:val="284"/>
        </w:trPr>
        <w:tc>
          <w:tcPr>
            <w:tcW w:w="1752" w:type="dxa"/>
          </w:tcPr>
          <w:p w14:paraId="42B02731" w14:textId="3007612C" w:rsidR="009F7D7F" w:rsidRPr="00B4077C" w:rsidRDefault="009F7D7F" w:rsidP="0088680E">
            <w:pPr>
              <w:rPr>
                <w:rFonts w:cstheme="minorHAnsi"/>
                <w:sz w:val="20"/>
                <w:szCs w:val="20"/>
              </w:rPr>
            </w:pPr>
            <w:r w:rsidRPr="00B4077C">
              <w:rPr>
                <w:rFonts w:cstheme="minorHAnsi"/>
                <w:sz w:val="20"/>
                <w:szCs w:val="20"/>
              </w:rPr>
              <w:t>Gasolio auto</w:t>
            </w:r>
          </w:p>
        </w:tc>
        <w:tc>
          <w:tcPr>
            <w:tcW w:w="1834" w:type="dxa"/>
          </w:tcPr>
          <w:p w14:paraId="7ADC62B5" w14:textId="135EDF39" w:rsidR="009F7D7F" w:rsidRPr="00B4077C" w:rsidRDefault="009F7D7F" w:rsidP="009F7D7F">
            <w:pPr>
              <w:jc w:val="center"/>
              <w:rPr>
                <w:rFonts w:cstheme="minorHAnsi"/>
                <w:sz w:val="20"/>
                <w:szCs w:val="20"/>
              </w:rPr>
            </w:pPr>
            <w:r w:rsidRPr="00B4077C">
              <w:rPr>
                <w:rFonts w:cstheme="minorHAnsi"/>
                <w:sz w:val="20"/>
                <w:szCs w:val="20"/>
              </w:rPr>
              <w:t>1,834</w:t>
            </w:r>
          </w:p>
        </w:tc>
        <w:tc>
          <w:tcPr>
            <w:tcW w:w="1834" w:type="dxa"/>
          </w:tcPr>
          <w:p w14:paraId="73C3A6C6" w14:textId="073DC7EB" w:rsidR="009F7D7F" w:rsidRPr="00B4077C" w:rsidRDefault="009F7D7F" w:rsidP="009F7D7F">
            <w:pPr>
              <w:jc w:val="center"/>
              <w:rPr>
                <w:rFonts w:cstheme="minorHAnsi"/>
                <w:sz w:val="20"/>
                <w:szCs w:val="20"/>
              </w:rPr>
            </w:pPr>
            <w:r w:rsidRPr="00B4077C">
              <w:rPr>
                <w:rFonts w:cstheme="minorHAnsi"/>
                <w:sz w:val="20"/>
                <w:szCs w:val="20"/>
              </w:rPr>
              <w:t>1,786</w:t>
            </w:r>
          </w:p>
        </w:tc>
        <w:tc>
          <w:tcPr>
            <w:tcW w:w="1834" w:type="dxa"/>
          </w:tcPr>
          <w:p w14:paraId="33E1DEDC" w14:textId="76BD5718" w:rsidR="009F7D7F" w:rsidRPr="00B4077C" w:rsidRDefault="009F7D7F" w:rsidP="009F7D7F">
            <w:pPr>
              <w:jc w:val="center"/>
              <w:rPr>
                <w:rFonts w:cstheme="minorHAnsi"/>
                <w:sz w:val="20"/>
                <w:szCs w:val="20"/>
              </w:rPr>
            </w:pPr>
            <w:r w:rsidRPr="00B4077C">
              <w:rPr>
                <w:rFonts w:cstheme="minorHAnsi"/>
                <w:sz w:val="20"/>
                <w:szCs w:val="20"/>
              </w:rPr>
              <w:t>+2,7%</w:t>
            </w:r>
          </w:p>
        </w:tc>
      </w:tr>
      <w:tr w:rsidR="009F7D7F" w:rsidRPr="00B4077C" w14:paraId="3147C0A9" w14:textId="77777777" w:rsidTr="00717309">
        <w:trPr>
          <w:trHeight w:val="268"/>
        </w:trPr>
        <w:tc>
          <w:tcPr>
            <w:tcW w:w="1752" w:type="dxa"/>
          </w:tcPr>
          <w:p w14:paraId="652F5B3D" w14:textId="4AA673DC" w:rsidR="009F7D7F" w:rsidRPr="00B4077C" w:rsidRDefault="00B4077C" w:rsidP="0088680E">
            <w:pPr>
              <w:rPr>
                <w:rFonts w:cstheme="minorHAnsi"/>
                <w:sz w:val="20"/>
                <w:szCs w:val="20"/>
              </w:rPr>
            </w:pPr>
            <w:r>
              <w:rPr>
                <w:rFonts w:cstheme="minorHAnsi"/>
                <w:sz w:val="20"/>
                <w:szCs w:val="20"/>
              </w:rPr>
              <w:t>GPL</w:t>
            </w:r>
          </w:p>
        </w:tc>
        <w:tc>
          <w:tcPr>
            <w:tcW w:w="1834" w:type="dxa"/>
          </w:tcPr>
          <w:p w14:paraId="64CC0E7F" w14:textId="2B0AE5F6" w:rsidR="009F7D7F" w:rsidRPr="00B4077C" w:rsidRDefault="009F7D7F" w:rsidP="009F7D7F">
            <w:pPr>
              <w:jc w:val="center"/>
              <w:rPr>
                <w:rFonts w:cstheme="minorHAnsi"/>
                <w:sz w:val="20"/>
                <w:szCs w:val="20"/>
              </w:rPr>
            </w:pPr>
            <w:r w:rsidRPr="00B4077C">
              <w:rPr>
                <w:rFonts w:cstheme="minorHAnsi"/>
                <w:sz w:val="20"/>
                <w:szCs w:val="20"/>
              </w:rPr>
              <w:t>0,710</w:t>
            </w:r>
          </w:p>
        </w:tc>
        <w:tc>
          <w:tcPr>
            <w:tcW w:w="1834" w:type="dxa"/>
          </w:tcPr>
          <w:p w14:paraId="03550817" w14:textId="1E89A8CB" w:rsidR="009F7D7F" w:rsidRPr="00B4077C" w:rsidRDefault="009F7D7F" w:rsidP="009F7D7F">
            <w:pPr>
              <w:jc w:val="center"/>
              <w:rPr>
                <w:rFonts w:cstheme="minorHAnsi"/>
                <w:sz w:val="20"/>
                <w:szCs w:val="20"/>
              </w:rPr>
            </w:pPr>
            <w:r w:rsidRPr="00B4077C">
              <w:rPr>
                <w:rFonts w:cstheme="minorHAnsi"/>
                <w:sz w:val="20"/>
                <w:szCs w:val="20"/>
              </w:rPr>
              <w:t>0,803</w:t>
            </w:r>
          </w:p>
        </w:tc>
        <w:tc>
          <w:tcPr>
            <w:tcW w:w="1834" w:type="dxa"/>
          </w:tcPr>
          <w:p w14:paraId="702407AF" w14:textId="244DFCAF" w:rsidR="009F7D7F" w:rsidRPr="00B4077C" w:rsidRDefault="009F7D7F" w:rsidP="009F7D7F">
            <w:pPr>
              <w:jc w:val="center"/>
              <w:rPr>
                <w:rFonts w:cstheme="minorHAnsi"/>
                <w:sz w:val="20"/>
                <w:szCs w:val="20"/>
              </w:rPr>
            </w:pPr>
            <w:r w:rsidRPr="00B4077C">
              <w:rPr>
                <w:rFonts w:cstheme="minorHAnsi"/>
                <w:sz w:val="20"/>
                <w:szCs w:val="20"/>
              </w:rPr>
              <w:t>-11,5%</w:t>
            </w:r>
          </w:p>
        </w:tc>
      </w:tr>
    </w:tbl>
    <w:p w14:paraId="6C878C4C" w14:textId="43D75E02" w:rsidR="009F7D7F" w:rsidRPr="000511EA" w:rsidRDefault="00C243CD" w:rsidP="000511EA">
      <w:pPr>
        <w:spacing w:after="0"/>
        <w:jc w:val="both"/>
        <w:rPr>
          <w:rFonts w:cstheme="minorHAnsi"/>
          <w:sz w:val="20"/>
          <w:szCs w:val="20"/>
        </w:rPr>
      </w:pPr>
      <w:r w:rsidRPr="00B4077C">
        <w:rPr>
          <w:rFonts w:cstheme="minorHAnsi"/>
          <w:sz w:val="20"/>
          <w:szCs w:val="20"/>
        </w:rPr>
        <w:t>Fonte: Elaborazioni Confesercenti FAIB su dati MIMIT</w:t>
      </w:r>
    </w:p>
    <w:p w14:paraId="4334DA2D" w14:textId="77777777" w:rsidR="00041AC9" w:rsidRDefault="00041AC9" w:rsidP="00866B8A">
      <w:pPr>
        <w:spacing w:after="120" w:line="276" w:lineRule="auto"/>
        <w:jc w:val="both"/>
        <w:rPr>
          <w:rFonts w:cstheme="minorHAnsi"/>
          <w:b/>
          <w:sz w:val="24"/>
          <w:szCs w:val="24"/>
        </w:rPr>
      </w:pPr>
    </w:p>
    <w:p w14:paraId="3717DABF" w14:textId="3A936274" w:rsidR="0088680E" w:rsidRPr="000511EA" w:rsidRDefault="0088680E" w:rsidP="00866B8A">
      <w:pPr>
        <w:spacing w:after="120" w:line="276" w:lineRule="auto"/>
        <w:jc w:val="both"/>
        <w:rPr>
          <w:rFonts w:cstheme="minorHAnsi"/>
          <w:b/>
          <w:sz w:val="24"/>
          <w:szCs w:val="24"/>
        </w:rPr>
      </w:pPr>
      <w:r w:rsidRPr="000511EA">
        <w:rPr>
          <w:rFonts w:cstheme="minorHAnsi"/>
          <w:b/>
          <w:sz w:val="24"/>
          <w:szCs w:val="24"/>
        </w:rPr>
        <w:t>Confronto con la media europea</w:t>
      </w:r>
    </w:p>
    <w:p w14:paraId="217B5008" w14:textId="4757C500" w:rsidR="00866B8A" w:rsidRPr="000511EA" w:rsidRDefault="00866B8A" w:rsidP="00866B8A">
      <w:pPr>
        <w:spacing w:after="120" w:line="276" w:lineRule="auto"/>
        <w:jc w:val="both"/>
        <w:rPr>
          <w:rFonts w:cstheme="minorHAnsi"/>
          <w:sz w:val="24"/>
          <w:szCs w:val="24"/>
        </w:rPr>
      </w:pPr>
      <w:r w:rsidRPr="000511EA">
        <w:rPr>
          <w:rFonts w:cstheme="minorHAnsi"/>
          <w:sz w:val="24"/>
          <w:szCs w:val="24"/>
        </w:rPr>
        <w:t xml:space="preserve">Da un confronto europeo emerge uno “stacco Italia” di segno positivo sul prezzo al consumo: </w:t>
      </w:r>
      <w:r w:rsidR="0088680E" w:rsidRPr="000511EA">
        <w:rPr>
          <w:rFonts w:cstheme="minorHAnsi"/>
          <w:sz w:val="24"/>
          <w:szCs w:val="24"/>
        </w:rPr>
        <w:t xml:space="preserve">nella media gennaio-luglio, questo è di </w:t>
      </w:r>
      <w:r w:rsidRPr="000511EA">
        <w:rPr>
          <w:rFonts w:cstheme="minorHAnsi"/>
          <w:sz w:val="24"/>
          <w:szCs w:val="24"/>
        </w:rPr>
        <w:t xml:space="preserve">+22,4 centesimi di euro al litro per la benzina e +18,3 centesimi al litro per il gasolio, il più alto dal 2018. Lo stacco è determinato principalmente dalla componente fiscale. </w:t>
      </w:r>
    </w:p>
    <w:p w14:paraId="68E08317" w14:textId="079748E3" w:rsidR="0088680E" w:rsidRPr="000511EA" w:rsidRDefault="0088680E" w:rsidP="00866B8A">
      <w:pPr>
        <w:spacing w:after="120" w:line="276" w:lineRule="auto"/>
        <w:jc w:val="both"/>
        <w:rPr>
          <w:rFonts w:cstheme="minorHAnsi"/>
          <w:bCs/>
          <w:sz w:val="24"/>
          <w:szCs w:val="24"/>
        </w:rPr>
      </w:pPr>
      <w:r w:rsidRPr="000511EA">
        <w:rPr>
          <w:rFonts w:cstheme="minorHAnsi"/>
          <w:bCs/>
          <w:sz w:val="24"/>
          <w:szCs w:val="24"/>
        </w:rPr>
        <w:t>In particolare, ad agosto, per un pieno di 50 litri di benzina gli italiani hanno pagato 11 euro in più della media europea</w:t>
      </w:r>
      <w:r w:rsidR="000511EA" w:rsidRPr="000511EA">
        <w:rPr>
          <w:rFonts w:cstheme="minorHAnsi"/>
          <w:bCs/>
          <w:sz w:val="24"/>
          <w:szCs w:val="24"/>
        </w:rPr>
        <w:t>, aggravio quasi totalmente dovuto alla componente fiscale</w:t>
      </w:r>
      <w:r w:rsidRPr="000511EA">
        <w:rPr>
          <w:rFonts w:cstheme="minorHAnsi"/>
          <w:bCs/>
          <w:sz w:val="24"/>
          <w:szCs w:val="24"/>
        </w:rPr>
        <w:t xml:space="preserve">. Ipotizzando una media di 4 pieni nel mese, i consumatori italiani hanno investito 388,2 euro, oltre 45 euro in più della media europea, di cui più di 44 euro di imposte. </w:t>
      </w:r>
    </w:p>
    <w:p w14:paraId="2D285E12" w14:textId="2B689198" w:rsidR="009F7D7F" w:rsidRPr="00B4077C" w:rsidRDefault="009F7D7F" w:rsidP="00866B8A">
      <w:pPr>
        <w:spacing w:after="120" w:line="276" w:lineRule="auto"/>
        <w:jc w:val="both"/>
        <w:rPr>
          <w:rFonts w:cstheme="minorHAnsi"/>
          <w:b/>
          <w:sz w:val="20"/>
          <w:szCs w:val="20"/>
        </w:rPr>
      </w:pPr>
      <w:r w:rsidRPr="00B4077C">
        <w:rPr>
          <w:rFonts w:cstheme="minorHAnsi"/>
          <w:b/>
          <w:sz w:val="20"/>
          <w:szCs w:val="20"/>
        </w:rPr>
        <w:t xml:space="preserve">Spesa per pieno di benzina ad agosto, confronto Italia – Media Ue </w:t>
      </w:r>
    </w:p>
    <w:tbl>
      <w:tblPr>
        <w:tblW w:w="7421"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32"/>
        <w:gridCol w:w="1245"/>
        <w:gridCol w:w="2030"/>
        <w:gridCol w:w="1527"/>
        <w:gridCol w:w="1487"/>
      </w:tblGrid>
      <w:tr w:rsidR="0088680E" w:rsidRPr="00B4077C" w14:paraId="679F0A1D" w14:textId="77777777" w:rsidTr="00717309">
        <w:trPr>
          <w:trHeight w:val="755"/>
        </w:trPr>
        <w:tc>
          <w:tcPr>
            <w:tcW w:w="1132" w:type="dxa"/>
            <w:noWrap/>
            <w:tcMar>
              <w:top w:w="0" w:type="dxa"/>
              <w:left w:w="70" w:type="dxa"/>
              <w:bottom w:w="0" w:type="dxa"/>
              <w:right w:w="70" w:type="dxa"/>
            </w:tcMar>
            <w:vAlign w:val="center"/>
            <w:hideMark/>
          </w:tcPr>
          <w:p w14:paraId="510040F2"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 </w:t>
            </w:r>
          </w:p>
        </w:tc>
        <w:tc>
          <w:tcPr>
            <w:tcW w:w="1245" w:type="dxa"/>
            <w:tcMar>
              <w:top w:w="0" w:type="dxa"/>
              <w:left w:w="70" w:type="dxa"/>
              <w:bottom w:w="0" w:type="dxa"/>
              <w:right w:w="70" w:type="dxa"/>
            </w:tcMar>
            <w:vAlign w:val="center"/>
            <w:hideMark/>
          </w:tcPr>
          <w:p w14:paraId="11C857D6"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 xml:space="preserve">Benzina </w:t>
            </w:r>
            <w:r w:rsidRPr="00B4077C">
              <w:rPr>
                <w:rFonts w:cstheme="minorHAnsi"/>
                <w:color w:val="000000"/>
                <w:sz w:val="20"/>
                <w:szCs w:val="20"/>
              </w:rPr>
              <w:br/>
              <w:t>pieno 50 litri</w:t>
            </w:r>
          </w:p>
        </w:tc>
        <w:tc>
          <w:tcPr>
            <w:tcW w:w="2030" w:type="dxa"/>
            <w:tcMar>
              <w:top w:w="0" w:type="dxa"/>
              <w:left w:w="70" w:type="dxa"/>
              <w:bottom w:w="0" w:type="dxa"/>
              <w:right w:w="70" w:type="dxa"/>
            </w:tcMar>
            <w:vAlign w:val="center"/>
            <w:hideMark/>
          </w:tcPr>
          <w:p w14:paraId="4DDE7100" w14:textId="160854B5" w:rsidR="0088680E" w:rsidRPr="00B4077C" w:rsidRDefault="009F7D7F" w:rsidP="009F7D7F">
            <w:pPr>
              <w:spacing w:after="0"/>
              <w:jc w:val="center"/>
              <w:rPr>
                <w:rFonts w:cstheme="minorHAnsi"/>
                <w:sz w:val="20"/>
                <w:szCs w:val="20"/>
              </w:rPr>
            </w:pPr>
            <w:r w:rsidRPr="00B4077C">
              <w:rPr>
                <w:rFonts w:cstheme="minorHAnsi"/>
                <w:color w:val="000000"/>
                <w:sz w:val="20"/>
                <w:szCs w:val="20"/>
              </w:rPr>
              <w:t>S</w:t>
            </w:r>
            <w:r w:rsidR="0088680E" w:rsidRPr="00B4077C">
              <w:rPr>
                <w:rFonts w:cstheme="minorHAnsi"/>
                <w:color w:val="000000"/>
                <w:sz w:val="20"/>
                <w:szCs w:val="20"/>
              </w:rPr>
              <w:t>pesa</w:t>
            </w:r>
            <w:r w:rsidRPr="00B4077C">
              <w:rPr>
                <w:rFonts w:cstheme="minorHAnsi"/>
                <w:color w:val="000000"/>
                <w:sz w:val="20"/>
                <w:szCs w:val="20"/>
              </w:rPr>
              <w:t xml:space="preserve"> </w:t>
            </w:r>
            <w:r w:rsidR="0088680E" w:rsidRPr="00B4077C">
              <w:rPr>
                <w:rFonts w:cstheme="minorHAnsi"/>
                <w:color w:val="000000"/>
                <w:sz w:val="20"/>
                <w:szCs w:val="20"/>
              </w:rPr>
              <w:t>4 pieni</w:t>
            </w:r>
          </w:p>
        </w:tc>
        <w:tc>
          <w:tcPr>
            <w:tcW w:w="1527" w:type="dxa"/>
            <w:tcMar>
              <w:top w:w="0" w:type="dxa"/>
              <w:left w:w="70" w:type="dxa"/>
              <w:bottom w:w="0" w:type="dxa"/>
              <w:right w:w="70" w:type="dxa"/>
            </w:tcMar>
            <w:vAlign w:val="center"/>
            <w:hideMark/>
          </w:tcPr>
          <w:p w14:paraId="69A1F90B" w14:textId="793B8BEF" w:rsidR="0088680E" w:rsidRPr="00B4077C" w:rsidRDefault="009F7D7F" w:rsidP="009F7D7F">
            <w:pPr>
              <w:spacing w:after="0"/>
              <w:jc w:val="center"/>
              <w:rPr>
                <w:rFonts w:cstheme="minorHAnsi"/>
                <w:sz w:val="20"/>
                <w:szCs w:val="20"/>
              </w:rPr>
            </w:pPr>
            <w:r w:rsidRPr="00B4077C">
              <w:rPr>
                <w:rFonts w:cstheme="minorHAnsi"/>
                <w:color w:val="000000"/>
                <w:sz w:val="20"/>
                <w:szCs w:val="20"/>
              </w:rPr>
              <w:t>S</w:t>
            </w:r>
            <w:r w:rsidR="0088680E" w:rsidRPr="00B4077C">
              <w:rPr>
                <w:rFonts w:cstheme="minorHAnsi"/>
                <w:color w:val="000000"/>
                <w:sz w:val="20"/>
                <w:szCs w:val="20"/>
              </w:rPr>
              <w:t>pesa</w:t>
            </w:r>
            <w:r w:rsidR="0088680E" w:rsidRPr="00B4077C">
              <w:rPr>
                <w:rFonts w:cstheme="minorHAnsi"/>
                <w:color w:val="000000"/>
                <w:sz w:val="20"/>
                <w:szCs w:val="20"/>
              </w:rPr>
              <w:br/>
              <w:t xml:space="preserve">imposte per </w:t>
            </w:r>
            <w:r w:rsidRPr="00B4077C">
              <w:rPr>
                <w:rFonts w:cstheme="minorHAnsi"/>
                <w:color w:val="000000"/>
                <w:sz w:val="20"/>
                <w:szCs w:val="20"/>
              </w:rPr>
              <w:t>un</w:t>
            </w:r>
            <w:r w:rsidR="0088680E" w:rsidRPr="00B4077C">
              <w:rPr>
                <w:rFonts w:cstheme="minorHAnsi"/>
                <w:color w:val="000000"/>
                <w:sz w:val="20"/>
                <w:szCs w:val="20"/>
              </w:rPr>
              <w:t xml:space="preserve"> pieno</w:t>
            </w:r>
          </w:p>
        </w:tc>
        <w:tc>
          <w:tcPr>
            <w:tcW w:w="1487" w:type="dxa"/>
            <w:tcMar>
              <w:top w:w="0" w:type="dxa"/>
              <w:left w:w="70" w:type="dxa"/>
              <w:bottom w:w="0" w:type="dxa"/>
              <w:right w:w="70" w:type="dxa"/>
            </w:tcMar>
            <w:vAlign w:val="center"/>
            <w:hideMark/>
          </w:tcPr>
          <w:p w14:paraId="05DC185B" w14:textId="46FDC2C9" w:rsidR="0088680E" w:rsidRPr="00B4077C" w:rsidRDefault="009F7D7F" w:rsidP="009F7D7F">
            <w:pPr>
              <w:spacing w:after="0"/>
              <w:jc w:val="center"/>
              <w:rPr>
                <w:rFonts w:cstheme="minorHAnsi"/>
                <w:sz w:val="20"/>
                <w:szCs w:val="20"/>
              </w:rPr>
            </w:pPr>
            <w:r w:rsidRPr="00B4077C">
              <w:rPr>
                <w:rFonts w:cstheme="minorHAnsi"/>
                <w:color w:val="000000"/>
                <w:sz w:val="20"/>
                <w:szCs w:val="20"/>
              </w:rPr>
              <w:t>S</w:t>
            </w:r>
            <w:r w:rsidR="0088680E" w:rsidRPr="00B4077C">
              <w:rPr>
                <w:rFonts w:cstheme="minorHAnsi"/>
                <w:color w:val="000000"/>
                <w:sz w:val="20"/>
                <w:szCs w:val="20"/>
              </w:rPr>
              <w:t>pesa imposte</w:t>
            </w:r>
            <w:r w:rsidRPr="00B4077C">
              <w:rPr>
                <w:rFonts w:cstheme="minorHAnsi"/>
                <w:color w:val="000000"/>
                <w:sz w:val="20"/>
                <w:szCs w:val="20"/>
              </w:rPr>
              <w:t xml:space="preserve"> </w:t>
            </w:r>
            <w:r w:rsidR="0088680E" w:rsidRPr="00B4077C">
              <w:rPr>
                <w:rFonts w:cstheme="minorHAnsi"/>
                <w:color w:val="000000"/>
                <w:sz w:val="20"/>
                <w:szCs w:val="20"/>
              </w:rPr>
              <w:t xml:space="preserve">per </w:t>
            </w:r>
            <w:proofErr w:type="gramStart"/>
            <w:r w:rsidR="0088680E" w:rsidRPr="00B4077C">
              <w:rPr>
                <w:rFonts w:cstheme="minorHAnsi"/>
                <w:color w:val="000000"/>
                <w:sz w:val="20"/>
                <w:szCs w:val="20"/>
              </w:rPr>
              <w:t>4</w:t>
            </w:r>
            <w:proofErr w:type="gramEnd"/>
            <w:r w:rsidR="0088680E" w:rsidRPr="00B4077C">
              <w:rPr>
                <w:rFonts w:cstheme="minorHAnsi"/>
                <w:color w:val="000000"/>
                <w:sz w:val="20"/>
                <w:szCs w:val="20"/>
              </w:rPr>
              <w:t xml:space="preserve"> pieni</w:t>
            </w:r>
          </w:p>
        </w:tc>
      </w:tr>
      <w:tr w:rsidR="0088680E" w:rsidRPr="00B4077C" w14:paraId="618F7A83" w14:textId="77777777" w:rsidTr="00717309">
        <w:trPr>
          <w:trHeight w:val="259"/>
        </w:trPr>
        <w:tc>
          <w:tcPr>
            <w:tcW w:w="1132" w:type="dxa"/>
            <w:noWrap/>
            <w:tcMar>
              <w:top w:w="0" w:type="dxa"/>
              <w:left w:w="70" w:type="dxa"/>
              <w:bottom w:w="0" w:type="dxa"/>
              <w:right w:w="70" w:type="dxa"/>
            </w:tcMar>
            <w:vAlign w:val="center"/>
            <w:hideMark/>
          </w:tcPr>
          <w:p w14:paraId="5B53D712" w14:textId="77777777" w:rsidR="0088680E" w:rsidRPr="00B4077C" w:rsidRDefault="0088680E" w:rsidP="009F7D7F">
            <w:pPr>
              <w:spacing w:after="0"/>
              <w:rPr>
                <w:rFonts w:cstheme="minorHAnsi"/>
                <w:sz w:val="20"/>
                <w:szCs w:val="20"/>
              </w:rPr>
            </w:pPr>
            <w:r w:rsidRPr="00B4077C">
              <w:rPr>
                <w:rFonts w:cstheme="minorHAnsi"/>
                <w:color w:val="000000"/>
                <w:sz w:val="20"/>
                <w:szCs w:val="20"/>
              </w:rPr>
              <w:t>Italia</w:t>
            </w:r>
          </w:p>
        </w:tc>
        <w:tc>
          <w:tcPr>
            <w:tcW w:w="1245" w:type="dxa"/>
            <w:noWrap/>
            <w:tcMar>
              <w:top w:w="0" w:type="dxa"/>
              <w:left w:w="70" w:type="dxa"/>
              <w:bottom w:w="0" w:type="dxa"/>
              <w:right w:w="70" w:type="dxa"/>
            </w:tcMar>
            <w:vAlign w:val="center"/>
            <w:hideMark/>
          </w:tcPr>
          <w:p w14:paraId="3A6EB3E4"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97,05</w:t>
            </w:r>
          </w:p>
        </w:tc>
        <w:tc>
          <w:tcPr>
            <w:tcW w:w="2030" w:type="dxa"/>
            <w:noWrap/>
            <w:tcMar>
              <w:top w:w="0" w:type="dxa"/>
              <w:left w:w="70" w:type="dxa"/>
              <w:bottom w:w="0" w:type="dxa"/>
              <w:right w:w="70" w:type="dxa"/>
            </w:tcMar>
            <w:vAlign w:val="center"/>
            <w:hideMark/>
          </w:tcPr>
          <w:p w14:paraId="43F81050"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388,2</w:t>
            </w:r>
          </w:p>
        </w:tc>
        <w:tc>
          <w:tcPr>
            <w:tcW w:w="1527" w:type="dxa"/>
            <w:noWrap/>
            <w:tcMar>
              <w:top w:w="0" w:type="dxa"/>
              <w:left w:w="70" w:type="dxa"/>
              <w:bottom w:w="0" w:type="dxa"/>
              <w:right w:w="70" w:type="dxa"/>
            </w:tcMar>
            <w:vAlign w:val="center"/>
            <w:hideMark/>
          </w:tcPr>
          <w:p w14:paraId="1E96A8C7"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53,9</w:t>
            </w:r>
          </w:p>
        </w:tc>
        <w:tc>
          <w:tcPr>
            <w:tcW w:w="1487" w:type="dxa"/>
            <w:noWrap/>
            <w:tcMar>
              <w:top w:w="0" w:type="dxa"/>
              <w:left w:w="70" w:type="dxa"/>
              <w:bottom w:w="0" w:type="dxa"/>
              <w:right w:w="70" w:type="dxa"/>
            </w:tcMar>
            <w:vAlign w:val="center"/>
            <w:hideMark/>
          </w:tcPr>
          <w:p w14:paraId="14D59A5C"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215,6</w:t>
            </w:r>
          </w:p>
        </w:tc>
      </w:tr>
      <w:tr w:rsidR="0088680E" w:rsidRPr="00B4077C" w14:paraId="2803D464" w14:textId="77777777" w:rsidTr="00717309">
        <w:trPr>
          <w:trHeight w:val="259"/>
        </w:trPr>
        <w:tc>
          <w:tcPr>
            <w:tcW w:w="1132" w:type="dxa"/>
            <w:noWrap/>
            <w:tcMar>
              <w:top w:w="0" w:type="dxa"/>
              <w:left w:w="70" w:type="dxa"/>
              <w:bottom w:w="0" w:type="dxa"/>
              <w:right w:w="70" w:type="dxa"/>
            </w:tcMar>
            <w:vAlign w:val="center"/>
            <w:hideMark/>
          </w:tcPr>
          <w:p w14:paraId="585BCB2E" w14:textId="77777777" w:rsidR="0088680E" w:rsidRPr="00B4077C" w:rsidRDefault="0088680E" w:rsidP="009F7D7F">
            <w:pPr>
              <w:spacing w:after="0"/>
              <w:rPr>
                <w:rFonts w:cstheme="minorHAnsi"/>
                <w:sz w:val="20"/>
                <w:szCs w:val="20"/>
              </w:rPr>
            </w:pPr>
            <w:r w:rsidRPr="00B4077C">
              <w:rPr>
                <w:rFonts w:cstheme="minorHAnsi"/>
                <w:color w:val="000000"/>
                <w:sz w:val="20"/>
                <w:szCs w:val="20"/>
              </w:rPr>
              <w:t>Media UE</w:t>
            </w:r>
          </w:p>
        </w:tc>
        <w:tc>
          <w:tcPr>
            <w:tcW w:w="1245" w:type="dxa"/>
            <w:noWrap/>
            <w:tcMar>
              <w:top w:w="0" w:type="dxa"/>
              <w:left w:w="70" w:type="dxa"/>
              <w:bottom w:w="0" w:type="dxa"/>
              <w:right w:w="70" w:type="dxa"/>
            </w:tcMar>
            <w:vAlign w:val="center"/>
            <w:hideMark/>
          </w:tcPr>
          <w:p w14:paraId="548E8A83"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85,75</w:t>
            </w:r>
          </w:p>
        </w:tc>
        <w:tc>
          <w:tcPr>
            <w:tcW w:w="2030" w:type="dxa"/>
            <w:noWrap/>
            <w:tcMar>
              <w:top w:w="0" w:type="dxa"/>
              <w:left w:w="70" w:type="dxa"/>
              <w:bottom w:w="0" w:type="dxa"/>
              <w:right w:w="70" w:type="dxa"/>
            </w:tcMar>
            <w:vAlign w:val="center"/>
            <w:hideMark/>
          </w:tcPr>
          <w:p w14:paraId="7B64A585"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343</w:t>
            </w:r>
          </w:p>
        </w:tc>
        <w:tc>
          <w:tcPr>
            <w:tcW w:w="1527" w:type="dxa"/>
            <w:noWrap/>
            <w:tcMar>
              <w:top w:w="0" w:type="dxa"/>
              <w:left w:w="70" w:type="dxa"/>
              <w:bottom w:w="0" w:type="dxa"/>
              <w:right w:w="70" w:type="dxa"/>
            </w:tcMar>
            <w:vAlign w:val="center"/>
            <w:hideMark/>
          </w:tcPr>
          <w:p w14:paraId="5F2EC8AA"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42,75</w:t>
            </w:r>
          </w:p>
        </w:tc>
        <w:tc>
          <w:tcPr>
            <w:tcW w:w="1487" w:type="dxa"/>
            <w:noWrap/>
            <w:tcMar>
              <w:top w:w="0" w:type="dxa"/>
              <w:left w:w="70" w:type="dxa"/>
              <w:bottom w:w="0" w:type="dxa"/>
              <w:right w:w="70" w:type="dxa"/>
            </w:tcMar>
            <w:vAlign w:val="center"/>
            <w:hideMark/>
          </w:tcPr>
          <w:p w14:paraId="20D50A96"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171</w:t>
            </w:r>
          </w:p>
        </w:tc>
      </w:tr>
      <w:tr w:rsidR="0088680E" w:rsidRPr="00B4077C" w14:paraId="25128A78" w14:textId="77777777" w:rsidTr="00717309">
        <w:trPr>
          <w:trHeight w:val="259"/>
        </w:trPr>
        <w:tc>
          <w:tcPr>
            <w:tcW w:w="1132" w:type="dxa"/>
            <w:noWrap/>
            <w:tcMar>
              <w:top w:w="0" w:type="dxa"/>
              <w:left w:w="70" w:type="dxa"/>
              <w:bottom w:w="0" w:type="dxa"/>
              <w:right w:w="70" w:type="dxa"/>
            </w:tcMar>
            <w:vAlign w:val="center"/>
            <w:hideMark/>
          </w:tcPr>
          <w:p w14:paraId="35F7C723" w14:textId="77777777" w:rsidR="0088680E" w:rsidRPr="00B4077C" w:rsidRDefault="0088680E" w:rsidP="009F7D7F">
            <w:pPr>
              <w:spacing w:after="0"/>
              <w:rPr>
                <w:rFonts w:cstheme="minorHAnsi"/>
                <w:sz w:val="20"/>
                <w:szCs w:val="20"/>
              </w:rPr>
            </w:pPr>
            <w:r w:rsidRPr="00B4077C">
              <w:rPr>
                <w:rFonts w:cstheme="minorHAnsi"/>
                <w:b/>
                <w:bCs/>
                <w:color w:val="000000"/>
                <w:sz w:val="20"/>
                <w:szCs w:val="20"/>
              </w:rPr>
              <w:t>differenza</w:t>
            </w:r>
          </w:p>
        </w:tc>
        <w:tc>
          <w:tcPr>
            <w:tcW w:w="1245" w:type="dxa"/>
            <w:noWrap/>
            <w:tcMar>
              <w:top w:w="0" w:type="dxa"/>
              <w:left w:w="70" w:type="dxa"/>
              <w:bottom w:w="0" w:type="dxa"/>
              <w:right w:w="70" w:type="dxa"/>
            </w:tcMar>
            <w:vAlign w:val="center"/>
            <w:hideMark/>
          </w:tcPr>
          <w:p w14:paraId="7D9F5623" w14:textId="77777777" w:rsidR="0088680E" w:rsidRPr="00B4077C" w:rsidRDefault="0088680E" w:rsidP="009F7D7F">
            <w:pPr>
              <w:spacing w:after="0"/>
              <w:jc w:val="center"/>
              <w:rPr>
                <w:rFonts w:cstheme="minorHAnsi"/>
                <w:sz w:val="20"/>
                <w:szCs w:val="20"/>
              </w:rPr>
            </w:pPr>
            <w:r w:rsidRPr="00B4077C">
              <w:rPr>
                <w:rFonts w:cstheme="minorHAnsi"/>
                <w:b/>
                <w:bCs/>
                <w:color w:val="000000"/>
                <w:sz w:val="20"/>
                <w:szCs w:val="20"/>
              </w:rPr>
              <w:t>11,3</w:t>
            </w:r>
          </w:p>
        </w:tc>
        <w:tc>
          <w:tcPr>
            <w:tcW w:w="2030" w:type="dxa"/>
            <w:noWrap/>
            <w:tcMar>
              <w:top w:w="0" w:type="dxa"/>
              <w:left w:w="70" w:type="dxa"/>
              <w:bottom w:w="0" w:type="dxa"/>
              <w:right w:w="70" w:type="dxa"/>
            </w:tcMar>
            <w:vAlign w:val="center"/>
            <w:hideMark/>
          </w:tcPr>
          <w:p w14:paraId="64B88768" w14:textId="77777777" w:rsidR="0088680E" w:rsidRPr="00B4077C" w:rsidRDefault="0088680E" w:rsidP="009F7D7F">
            <w:pPr>
              <w:spacing w:after="0"/>
              <w:jc w:val="center"/>
              <w:rPr>
                <w:rFonts w:cstheme="minorHAnsi"/>
                <w:sz w:val="20"/>
                <w:szCs w:val="20"/>
              </w:rPr>
            </w:pPr>
            <w:r w:rsidRPr="00B4077C">
              <w:rPr>
                <w:rFonts w:cstheme="minorHAnsi"/>
                <w:b/>
                <w:bCs/>
                <w:color w:val="000000"/>
                <w:sz w:val="20"/>
                <w:szCs w:val="20"/>
              </w:rPr>
              <w:t>45,2</w:t>
            </w:r>
          </w:p>
        </w:tc>
        <w:tc>
          <w:tcPr>
            <w:tcW w:w="1527" w:type="dxa"/>
            <w:noWrap/>
            <w:tcMar>
              <w:top w:w="0" w:type="dxa"/>
              <w:left w:w="70" w:type="dxa"/>
              <w:bottom w:w="0" w:type="dxa"/>
              <w:right w:w="70" w:type="dxa"/>
            </w:tcMar>
            <w:vAlign w:val="center"/>
            <w:hideMark/>
          </w:tcPr>
          <w:p w14:paraId="162F8304" w14:textId="77777777" w:rsidR="0088680E" w:rsidRPr="00B4077C" w:rsidRDefault="0088680E" w:rsidP="009F7D7F">
            <w:pPr>
              <w:spacing w:after="0"/>
              <w:jc w:val="center"/>
              <w:rPr>
                <w:rFonts w:cstheme="minorHAnsi"/>
                <w:sz w:val="20"/>
                <w:szCs w:val="20"/>
              </w:rPr>
            </w:pPr>
            <w:r w:rsidRPr="00B4077C">
              <w:rPr>
                <w:rFonts w:cstheme="minorHAnsi"/>
                <w:b/>
                <w:bCs/>
                <w:color w:val="000000"/>
                <w:sz w:val="20"/>
                <w:szCs w:val="20"/>
              </w:rPr>
              <w:t>11,15</w:t>
            </w:r>
          </w:p>
        </w:tc>
        <w:tc>
          <w:tcPr>
            <w:tcW w:w="1487" w:type="dxa"/>
            <w:noWrap/>
            <w:tcMar>
              <w:top w:w="0" w:type="dxa"/>
              <w:left w:w="70" w:type="dxa"/>
              <w:bottom w:w="0" w:type="dxa"/>
              <w:right w:w="70" w:type="dxa"/>
            </w:tcMar>
            <w:vAlign w:val="center"/>
            <w:hideMark/>
          </w:tcPr>
          <w:p w14:paraId="37C1E8F3" w14:textId="77777777" w:rsidR="0088680E" w:rsidRPr="00B4077C" w:rsidRDefault="0088680E" w:rsidP="009F7D7F">
            <w:pPr>
              <w:spacing w:after="0"/>
              <w:jc w:val="center"/>
              <w:rPr>
                <w:rFonts w:cstheme="minorHAnsi"/>
                <w:sz w:val="20"/>
                <w:szCs w:val="20"/>
              </w:rPr>
            </w:pPr>
            <w:r w:rsidRPr="00B4077C">
              <w:rPr>
                <w:rFonts w:cstheme="minorHAnsi"/>
                <w:b/>
                <w:bCs/>
                <w:color w:val="000000"/>
                <w:sz w:val="20"/>
                <w:szCs w:val="20"/>
              </w:rPr>
              <w:t>44,6</w:t>
            </w:r>
          </w:p>
        </w:tc>
      </w:tr>
      <w:tr w:rsidR="0088680E" w:rsidRPr="00B4077C" w14:paraId="7C4893C6" w14:textId="77777777" w:rsidTr="00717309">
        <w:trPr>
          <w:trHeight w:val="259"/>
        </w:trPr>
        <w:tc>
          <w:tcPr>
            <w:tcW w:w="1132" w:type="dxa"/>
            <w:noWrap/>
            <w:tcMar>
              <w:top w:w="0" w:type="dxa"/>
              <w:left w:w="70" w:type="dxa"/>
              <w:bottom w:w="0" w:type="dxa"/>
              <w:right w:w="70" w:type="dxa"/>
            </w:tcMar>
            <w:vAlign w:val="center"/>
            <w:hideMark/>
          </w:tcPr>
          <w:p w14:paraId="5356EF6A" w14:textId="77777777" w:rsidR="0088680E" w:rsidRPr="00B4077C" w:rsidRDefault="0088680E" w:rsidP="009F7D7F">
            <w:pPr>
              <w:spacing w:after="0"/>
              <w:rPr>
                <w:rFonts w:cstheme="minorHAnsi"/>
                <w:sz w:val="20"/>
                <w:szCs w:val="20"/>
              </w:rPr>
            </w:pPr>
            <w:r w:rsidRPr="00B4077C">
              <w:rPr>
                <w:rFonts w:cstheme="minorHAnsi"/>
                <w:color w:val="000000"/>
                <w:sz w:val="20"/>
                <w:szCs w:val="20"/>
              </w:rPr>
              <w:t> </w:t>
            </w:r>
          </w:p>
        </w:tc>
        <w:tc>
          <w:tcPr>
            <w:tcW w:w="1245" w:type="dxa"/>
            <w:noWrap/>
            <w:tcMar>
              <w:top w:w="0" w:type="dxa"/>
              <w:left w:w="70" w:type="dxa"/>
              <w:bottom w:w="0" w:type="dxa"/>
              <w:right w:w="70" w:type="dxa"/>
            </w:tcMar>
            <w:vAlign w:val="center"/>
            <w:hideMark/>
          </w:tcPr>
          <w:p w14:paraId="492B9CD5"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 </w:t>
            </w:r>
          </w:p>
        </w:tc>
        <w:tc>
          <w:tcPr>
            <w:tcW w:w="2030" w:type="dxa"/>
            <w:noWrap/>
            <w:tcMar>
              <w:top w:w="0" w:type="dxa"/>
              <w:left w:w="70" w:type="dxa"/>
              <w:bottom w:w="0" w:type="dxa"/>
              <w:right w:w="70" w:type="dxa"/>
            </w:tcMar>
            <w:vAlign w:val="center"/>
            <w:hideMark/>
          </w:tcPr>
          <w:p w14:paraId="292C83BA"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 </w:t>
            </w:r>
          </w:p>
        </w:tc>
        <w:tc>
          <w:tcPr>
            <w:tcW w:w="1527" w:type="dxa"/>
            <w:noWrap/>
            <w:tcMar>
              <w:top w:w="0" w:type="dxa"/>
              <w:left w:w="70" w:type="dxa"/>
              <w:bottom w:w="0" w:type="dxa"/>
              <w:right w:w="70" w:type="dxa"/>
            </w:tcMar>
            <w:vAlign w:val="center"/>
            <w:hideMark/>
          </w:tcPr>
          <w:p w14:paraId="2BC64313"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 </w:t>
            </w:r>
          </w:p>
        </w:tc>
        <w:tc>
          <w:tcPr>
            <w:tcW w:w="1487" w:type="dxa"/>
            <w:noWrap/>
            <w:tcMar>
              <w:top w:w="0" w:type="dxa"/>
              <w:left w:w="70" w:type="dxa"/>
              <w:bottom w:w="0" w:type="dxa"/>
              <w:right w:w="70" w:type="dxa"/>
            </w:tcMar>
            <w:vAlign w:val="center"/>
            <w:hideMark/>
          </w:tcPr>
          <w:p w14:paraId="7007F4D5"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 </w:t>
            </w:r>
          </w:p>
        </w:tc>
      </w:tr>
      <w:tr w:rsidR="0088680E" w:rsidRPr="00B4077C" w14:paraId="538F2097" w14:textId="77777777" w:rsidTr="00717309">
        <w:trPr>
          <w:trHeight w:val="259"/>
        </w:trPr>
        <w:tc>
          <w:tcPr>
            <w:tcW w:w="1132" w:type="dxa"/>
            <w:noWrap/>
            <w:tcMar>
              <w:top w:w="0" w:type="dxa"/>
              <w:left w:w="70" w:type="dxa"/>
              <w:bottom w:w="0" w:type="dxa"/>
              <w:right w:w="70" w:type="dxa"/>
            </w:tcMar>
            <w:vAlign w:val="center"/>
            <w:hideMark/>
          </w:tcPr>
          <w:p w14:paraId="075A11A3" w14:textId="77777777" w:rsidR="0088680E" w:rsidRPr="00B4077C" w:rsidRDefault="0088680E" w:rsidP="009F7D7F">
            <w:pPr>
              <w:spacing w:after="0"/>
              <w:rPr>
                <w:rFonts w:cstheme="minorHAnsi"/>
                <w:sz w:val="20"/>
                <w:szCs w:val="20"/>
              </w:rPr>
            </w:pPr>
            <w:r w:rsidRPr="00B4077C">
              <w:rPr>
                <w:rFonts w:cstheme="minorHAnsi"/>
                <w:color w:val="000000"/>
                <w:sz w:val="20"/>
                <w:szCs w:val="20"/>
              </w:rPr>
              <w:t>Germania</w:t>
            </w:r>
          </w:p>
        </w:tc>
        <w:tc>
          <w:tcPr>
            <w:tcW w:w="1245" w:type="dxa"/>
            <w:noWrap/>
            <w:tcMar>
              <w:top w:w="0" w:type="dxa"/>
              <w:left w:w="70" w:type="dxa"/>
              <w:bottom w:w="0" w:type="dxa"/>
              <w:right w:w="70" w:type="dxa"/>
            </w:tcMar>
            <w:vAlign w:val="center"/>
            <w:hideMark/>
          </w:tcPr>
          <w:p w14:paraId="256353B0"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95,8</w:t>
            </w:r>
          </w:p>
        </w:tc>
        <w:tc>
          <w:tcPr>
            <w:tcW w:w="2030" w:type="dxa"/>
            <w:noWrap/>
            <w:tcMar>
              <w:top w:w="0" w:type="dxa"/>
              <w:left w:w="70" w:type="dxa"/>
              <w:bottom w:w="0" w:type="dxa"/>
              <w:right w:w="70" w:type="dxa"/>
            </w:tcMar>
            <w:vAlign w:val="center"/>
            <w:hideMark/>
          </w:tcPr>
          <w:p w14:paraId="6E8E46A0"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383,2</w:t>
            </w:r>
          </w:p>
        </w:tc>
        <w:tc>
          <w:tcPr>
            <w:tcW w:w="1527" w:type="dxa"/>
            <w:noWrap/>
            <w:tcMar>
              <w:top w:w="0" w:type="dxa"/>
              <w:left w:w="70" w:type="dxa"/>
              <w:bottom w:w="0" w:type="dxa"/>
              <w:right w:w="70" w:type="dxa"/>
            </w:tcMar>
            <w:vAlign w:val="center"/>
            <w:hideMark/>
          </w:tcPr>
          <w:p w14:paraId="63385119"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51,45</w:t>
            </w:r>
          </w:p>
        </w:tc>
        <w:tc>
          <w:tcPr>
            <w:tcW w:w="1487" w:type="dxa"/>
            <w:noWrap/>
            <w:tcMar>
              <w:top w:w="0" w:type="dxa"/>
              <w:left w:w="70" w:type="dxa"/>
              <w:bottom w:w="0" w:type="dxa"/>
              <w:right w:w="70" w:type="dxa"/>
            </w:tcMar>
            <w:vAlign w:val="center"/>
            <w:hideMark/>
          </w:tcPr>
          <w:p w14:paraId="028C185C"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205,8</w:t>
            </w:r>
          </w:p>
        </w:tc>
      </w:tr>
      <w:tr w:rsidR="0088680E" w:rsidRPr="00B4077C" w14:paraId="1B32EF22" w14:textId="77777777" w:rsidTr="00717309">
        <w:trPr>
          <w:trHeight w:val="259"/>
        </w:trPr>
        <w:tc>
          <w:tcPr>
            <w:tcW w:w="1132" w:type="dxa"/>
            <w:noWrap/>
            <w:tcMar>
              <w:top w:w="0" w:type="dxa"/>
              <w:left w:w="70" w:type="dxa"/>
              <w:bottom w:w="0" w:type="dxa"/>
              <w:right w:w="70" w:type="dxa"/>
            </w:tcMar>
            <w:vAlign w:val="center"/>
            <w:hideMark/>
          </w:tcPr>
          <w:p w14:paraId="34E23047" w14:textId="77777777" w:rsidR="0088680E" w:rsidRPr="00B4077C" w:rsidRDefault="0088680E" w:rsidP="009F7D7F">
            <w:pPr>
              <w:spacing w:after="0"/>
              <w:rPr>
                <w:rFonts w:cstheme="minorHAnsi"/>
                <w:sz w:val="20"/>
                <w:szCs w:val="20"/>
              </w:rPr>
            </w:pPr>
            <w:r w:rsidRPr="00B4077C">
              <w:rPr>
                <w:rFonts w:cstheme="minorHAnsi"/>
                <w:color w:val="000000"/>
                <w:sz w:val="20"/>
                <w:szCs w:val="20"/>
              </w:rPr>
              <w:t>Francia</w:t>
            </w:r>
          </w:p>
        </w:tc>
        <w:tc>
          <w:tcPr>
            <w:tcW w:w="1245" w:type="dxa"/>
            <w:noWrap/>
            <w:tcMar>
              <w:top w:w="0" w:type="dxa"/>
              <w:left w:w="70" w:type="dxa"/>
              <w:bottom w:w="0" w:type="dxa"/>
              <w:right w:w="70" w:type="dxa"/>
            </w:tcMar>
            <w:vAlign w:val="center"/>
            <w:hideMark/>
          </w:tcPr>
          <w:p w14:paraId="6462E217"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96,1</w:t>
            </w:r>
          </w:p>
        </w:tc>
        <w:tc>
          <w:tcPr>
            <w:tcW w:w="2030" w:type="dxa"/>
            <w:noWrap/>
            <w:tcMar>
              <w:top w:w="0" w:type="dxa"/>
              <w:left w:w="70" w:type="dxa"/>
              <w:bottom w:w="0" w:type="dxa"/>
              <w:right w:w="70" w:type="dxa"/>
            </w:tcMar>
            <w:vAlign w:val="center"/>
            <w:hideMark/>
          </w:tcPr>
          <w:p w14:paraId="40888571"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384,4</w:t>
            </w:r>
          </w:p>
        </w:tc>
        <w:tc>
          <w:tcPr>
            <w:tcW w:w="1527" w:type="dxa"/>
            <w:noWrap/>
            <w:tcMar>
              <w:top w:w="0" w:type="dxa"/>
              <w:left w:w="70" w:type="dxa"/>
              <w:bottom w:w="0" w:type="dxa"/>
              <w:right w:w="70" w:type="dxa"/>
            </w:tcMar>
            <w:vAlign w:val="center"/>
            <w:hideMark/>
          </w:tcPr>
          <w:p w14:paraId="507407E8"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50,6</w:t>
            </w:r>
          </w:p>
        </w:tc>
        <w:tc>
          <w:tcPr>
            <w:tcW w:w="1487" w:type="dxa"/>
            <w:noWrap/>
            <w:tcMar>
              <w:top w:w="0" w:type="dxa"/>
              <w:left w:w="70" w:type="dxa"/>
              <w:bottom w:w="0" w:type="dxa"/>
              <w:right w:w="70" w:type="dxa"/>
            </w:tcMar>
            <w:vAlign w:val="center"/>
            <w:hideMark/>
          </w:tcPr>
          <w:p w14:paraId="0E60308B"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202,4</w:t>
            </w:r>
          </w:p>
        </w:tc>
      </w:tr>
      <w:tr w:rsidR="0088680E" w:rsidRPr="00B4077C" w14:paraId="4213FD56" w14:textId="77777777" w:rsidTr="00717309">
        <w:trPr>
          <w:trHeight w:val="259"/>
        </w:trPr>
        <w:tc>
          <w:tcPr>
            <w:tcW w:w="1132" w:type="dxa"/>
            <w:noWrap/>
            <w:tcMar>
              <w:top w:w="0" w:type="dxa"/>
              <w:left w:w="70" w:type="dxa"/>
              <w:bottom w:w="0" w:type="dxa"/>
              <w:right w:w="70" w:type="dxa"/>
            </w:tcMar>
            <w:vAlign w:val="center"/>
            <w:hideMark/>
          </w:tcPr>
          <w:p w14:paraId="0C0CAC65" w14:textId="77777777" w:rsidR="0088680E" w:rsidRPr="00B4077C" w:rsidRDefault="0088680E" w:rsidP="009F7D7F">
            <w:pPr>
              <w:spacing w:after="0"/>
              <w:rPr>
                <w:rFonts w:cstheme="minorHAnsi"/>
                <w:sz w:val="20"/>
                <w:szCs w:val="20"/>
              </w:rPr>
            </w:pPr>
            <w:r w:rsidRPr="00B4077C">
              <w:rPr>
                <w:rFonts w:cstheme="minorHAnsi"/>
                <w:color w:val="000000"/>
                <w:sz w:val="20"/>
                <w:szCs w:val="20"/>
              </w:rPr>
              <w:t>Spagna</w:t>
            </w:r>
          </w:p>
        </w:tc>
        <w:tc>
          <w:tcPr>
            <w:tcW w:w="1245" w:type="dxa"/>
            <w:noWrap/>
            <w:tcMar>
              <w:top w:w="0" w:type="dxa"/>
              <w:left w:w="70" w:type="dxa"/>
              <w:bottom w:w="0" w:type="dxa"/>
              <w:right w:w="70" w:type="dxa"/>
            </w:tcMar>
            <w:vAlign w:val="center"/>
            <w:hideMark/>
          </w:tcPr>
          <w:p w14:paraId="5D3E4547"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85,05</w:t>
            </w:r>
          </w:p>
        </w:tc>
        <w:tc>
          <w:tcPr>
            <w:tcW w:w="2030" w:type="dxa"/>
            <w:noWrap/>
            <w:tcMar>
              <w:top w:w="0" w:type="dxa"/>
              <w:left w:w="70" w:type="dxa"/>
              <w:bottom w:w="0" w:type="dxa"/>
              <w:right w:w="70" w:type="dxa"/>
            </w:tcMar>
            <w:vAlign w:val="center"/>
            <w:hideMark/>
          </w:tcPr>
          <w:p w14:paraId="38F4A38A"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340,2</w:t>
            </w:r>
          </w:p>
        </w:tc>
        <w:tc>
          <w:tcPr>
            <w:tcW w:w="1527" w:type="dxa"/>
            <w:noWrap/>
            <w:tcMar>
              <w:top w:w="0" w:type="dxa"/>
              <w:left w:w="70" w:type="dxa"/>
              <w:bottom w:w="0" w:type="dxa"/>
              <w:right w:w="70" w:type="dxa"/>
            </w:tcMar>
            <w:vAlign w:val="center"/>
            <w:hideMark/>
          </w:tcPr>
          <w:p w14:paraId="1C32AA72"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38,4</w:t>
            </w:r>
          </w:p>
        </w:tc>
        <w:tc>
          <w:tcPr>
            <w:tcW w:w="1487" w:type="dxa"/>
            <w:noWrap/>
            <w:tcMar>
              <w:top w:w="0" w:type="dxa"/>
              <w:left w:w="70" w:type="dxa"/>
              <w:bottom w:w="0" w:type="dxa"/>
              <w:right w:w="70" w:type="dxa"/>
            </w:tcMar>
            <w:vAlign w:val="center"/>
            <w:hideMark/>
          </w:tcPr>
          <w:p w14:paraId="5EC18B90"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153,6</w:t>
            </w:r>
          </w:p>
        </w:tc>
      </w:tr>
      <w:tr w:rsidR="0088680E" w:rsidRPr="00B4077C" w14:paraId="733A026A" w14:textId="77777777" w:rsidTr="00717309">
        <w:trPr>
          <w:trHeight w:val="259"/>
        </w:trPr>
        <w:tc>
          <w:tcPr>
            <w:tcW w:w="1132" w:type="dxa"/>
            <w:noWrap/>
            <w:tcMar>
              <w:top w:w="0" w:type="dxa"/>
              <w:left w:w="70" w:type="dxa"/>
              <w:bottom w:w="0" w:type="dxa"/>
              <w:right w:w="70" w:type="dxa"/>
            </w:tcMar>
            <w:vAlign w:val="center"/>
            <w:hideMark/>
          </w:tcPr>
          <w:p w14:paraId="13EAA6E9" w14:textId="77777777" w:rsidR="0088680E" w:rsidRPr="00B4077C" w:rsidRDefault="0088680E" w:rsidP="009F7D7F">
            <w:pPr>
              <w:spacing w:after="0"/>
              <w:rPr>
                <w:rFonts w:cstheme="minorHAnsi"/>
                <w:sz w:val="20"/>
                <w:szCs w:val="20"/>
              </w:rPr>
            </w:pPr>
            <w:r w:rsidRPr="00B4077C">
              <w:rPr>
                <w:rFonts w:cstheme="minorHAnsi"/>
                <w:color w:val="000000"/>
                <w:sz w:val="20"/>
                <w:szCs w:val="20"/>
              </w:rPr>
              <w:t>Portogallo</w:t>
            </w:r>
          </w:p>
        </w:tc>
        <w:tc>
          <w:tcPr>
            <w:tcW w:w="1245" w:type="dxa"/>
            <w:noWrap/>
            <w:tcMar>
              <w:top w:w="0" w:type="dxa"/>
              <w:left w:w="70" w:type="dxa"/>
              <w:bottom w:w="0" w:type="dxa"/>
              <w:right w:w="70" w:type="dxa"/>
            </w:tcMar>
            <w:vAlign w:val="center"/>
            <w:hideMark/>
          </w:tcPr>
          <w:p w14:paraId="2C11E3E1"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92,25</w:t>
            </w:r>
          </w:p>
        </w:tc>
        <w:tc>
          <w:tcPr>
            <w:tcW w:w="2030" w:type="dxa"/>
            <w:noWrap/>
            <w:tcMar>
              <w:top w:w="0" w:type="dxa"/>
              <w:left w:w="70" w:type="dxa"/>
              <w:bottom w:w="0" w:type="dxa"/>
              <w:right w:w="70" w:type="dxa"/>
            </w:tcMar>
            <w:vAlign w:val="center"/>
            <w:hideMark/>
          </w:tcPr>
          <w:p w14:paraId="45600129"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369</w:t>
            </w:r>
          </w:p>
        </w:tc>
        <w:tc>
          <w:tcPr>
            <w:tcW w:w="1527" w:type="dxa"/>
            <w:noWrap/>
            <w:tcMar>
              <w:top w:w="0" w:type="dxa"/>
              <w:left w:w="70" w:type="dxa"/>
              <w:bottom w:w="0" w:type="dxa"/>
              <w:right w:w="70" w:type="dxa"/>
            </w:tcMar>
            <w:vAlign w:val="center"/>
            <w:hideMark/>
          </w:tcPr>
          <w:p w14:paraId="0F19543E"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46,65</w:t>
            </w:r>
          </w:p>
        </w:tc>
        <w:tc>
          <w:tcPr>
            <w:tcW w:w="1487" w:type="dxa"/>
            <w:noWrap/>
            <w:tcMar>
              <w:top w:w="0" w:type="dxa"/>
              <w:left w:w="70" w:type="dxa"/>
              <w:bottom w:w="0" w:type="dxa"/>
              <w:right w:w="70" w:type="dxa"/>
            </w:tcMar>
            <w:vAlign w:val="center"/>
            <w:hideMark/>
          </w:tcPr>
          <w:p w14:paraId="59C199E6" w14:textId="77777777" w:rsidR="0088680E" w:rsidRPr="00B4077C" w:rsidRDefault="0088680E" w:rsidP="009F7D7F">
            <w:pPr>
              <w:spacing w:after="0"/>
              <w:jc w:val="center"/>
              <w:rPr>
                <w:rFonts w:cstheme="minorHAnsi"/>
                <w:sz w:val="20"/>
                <w:szCs w:val="20"/>
              </w:rPr>
            </w:pPr>
            <w:r w:rsidRPr="00B4077C">
              <w:rPr>
                <w:rFonts w:cstheme="minorHAnsi"/>
                <w:color w:val="000000"/>
                <w:sz w:val="20"/>
                <w:szCs w:val="20"/>
              </w:rPr>
              <w:t>186,6</w:t>
            </w:r>
          </w:p>
        </w:tc>
      </w:tr>
      <w:tr w:rsidR="0088680E" w:rsidRPr="00B4077C" w14:paraId="767651DF" w14:textId="77777777" w:rsidTr="00717309">
        <w:trPr>
          <w:trHeight w:val="259"/>
        </w:trPr>
        <w:tc>
          <w:tcPr>
            <w:tcW w:w="1132" w:type="dxa"/>
            <w:noWrap/>
            <w:tcMar>
              <w:top w:w="0" w:type="dxa"/>
              <w:left w:w="70" w:type="dxa"/>
              <w:bottom w:w="0" w:type="dxa"/>
              <w:right w:w="70" w:type="dxa"/>
            </w:tcMar>
            <w:vAlign w:val="center"/>
            <w:hideMark/>
          </w:tcPr>
          <w:p w14:paraId="137B9200" w14:textId="77777777" w:rsidR="0088680E" w:rsidRPr="00B4077C" w:rsidRDefault="0088680E" w:rsidP="009F7D7F">
            <w:pPr>
              <w:spacing w:after="0"/>
              <w:rPr>
                <w:rFonts w:cstheme="minorHAnsi"/>
              </w:rPr>
            </w:pPr>
            <w:r w:rsidRPr="00B4077C">
              <w:rPr>
                <w:rFonts w:cstheme="minorHAnsi"/>
                <w:color w:val="000000"/>
              </w:rPr>
              <w:lastRenderedPageBreak/>
              <w:t>Croazia</w:t>
            </w:r>
          </w:p>
        </w:tc>
        <w:tc>
          <w:tcPr>
            <w:tcW w:w="1245" w:type="dxa"/>
            <w:noWrap/>
            <w:tcMar>
              <w:top w:w="0" w:type="dxa"/>
              <w:left w:w="70" w:type="dxa"/>
              <w:bottom w:w="0" w:type="dxa"/>
              <w:right w:w="70" w:type="dxa"/>
            </w:tcMar>
            <w:vAlign w:val="center"/>
            <w:hideMark/>
          </w:tcPr>
          <w:p w14:paraId="069CB649" w14:textId="77777777" w:rsidR="0088680E" w:rsidRPr="00B4077C" w:rsidRDefault="0088680E" w:rsidP="009F7D7F">
            <w:pPr>
              <w:spacing w:after="0"/>
              <w:jc w:val="center"/>
              <w:rPr>
                <w:rFonts w:cstheme="minorHAnsi"/>
              </w:rPr>
            </w:pPr>
            <w:r w:rsidRPr="00B4077C">
              <w:rPr>
                <w:rFonts w:cstheme="minorHAnsi"/>
                <w:color w:val="000000"/>
              </w:rPr>
              <w:t>79,3</w:t>
            </w:r>
          </w:p>
        </w:tc>
        <w:tc>
          <w:tcPr>
            <w:tcW w:w="2030" w:type="dxa"/>
            <w:noWrap/>
            <w:tcMar>
              <w:top w:w="0" w:type="dxa"/>
              <w:left w:w="70" w:type="dxa"/>
              <w:bottom w:w="0" w:type="dxa"/>
              <w:right w:w="70" w:type="dxa"/>
            </w:tcMar>
            <w:vAlign w:val="center"/>
            <w:hideMark/>
          </w:tcPr>
          <w:p w14:paraId="4509CF68" w14:textId="77777777" w:rsidR="0088680E" w:rsidRPr="00B4077C" w:rsidRDefault="0088680E" w:rsidP="009F7D7F">
            <w:pPr>
              <w:spacing w:after="0"/>
              <w:jc w:val="center"/>
              <w:rPr>
                <w:rFonts w:cstheme="minorHAnsi"/>
              </w:rPr>
            </w:pPr>
            <w:r w:rsidRPr="00B4077C">
              <w:rPr>
                <w:rFonts w:cstheme="minorHAnsi"/>
                <w:color w:val="000000"/>
              </w:rPr>
              <w:t>317,2</w:t>
            </w:r>
          </w:p>
        </w:tc>
        <w:tc>
          <w:tcPr>
            <w:tcW w:w="1527" w:type="dxa"/>
            <w:noWrap/>
            <w:tcMar>
              <w:top w:w="0" w:type="dxa"/>
              <w:left w:w="70" w:type="dxa"/>
              <w:bottom w:w="0" w:type="dxa"/>
              <w:right w:w="70" w:type="dxa"/>
            </w:tcMar>
            <w:vAlign w:val="center"/>
            <w:hideMark/>
          </w:tcPr>
          <w:p w14:paraId="2466AE29" w14:textId="77777777" w:rsidR="0088680E" w:rsidRPr="00B4077C" w:rsidRDefault="0088680E" w:rsidP="009F7D7F">
            <w:pPr>
              <w:spacing w:after="0"/>
              <w:jc w:val="center"/>
              <w:rPr>
                <w:rFonts w:cstheme="minorHAnsi"/>
              </w:rPr>
            </w:pPr>
            <w:r w:rsidRPr="00B4077C">
              <w:rPr>
                <w:rFonts w:cstheme="minorHAnsi"/>
                <w:color w:val="000000"/>
              </w:rPr>
              <w:t>38,65</w:t>
            </w:r>
          </w:p>
        </w:tc>
        <w:tc>
          <w:tcPr>
            <w:tcW w:w="1487" w:type="dxa"/>
            <w:noWrap/>
            <w:tcMar>
              <w:top w:w="0" w:type="dxa"/>
              <w:left w:w="70" w:type="dxa"/>
              <w:bottom w:w="0" w:type="dxa"/>
              <w:right w:w="70" w:type="dxa"/>
            </w:tcMar>
            <w:vAlign w:val="center"/>
            <w:hideMark/>
          </w:tcPr>
          <w:p w14:paraId="12342B85" w14:textId="77777777" w:rsidR="0088680E" w:rsidRPr="00B4077C" w:rsidRDefault="0088680E" w:rsidP="009F7D7F">
            <w:pPr>
              <w:spacing w:after="0"/>
              <w:jc w:val="center"/>
              <w:rPr>
                <w:rFonts w:cstheme="minorHAnsi"/>
              </w:rPr>
            </w:pPr>
            <w:r w:rsidRPr="00B4077C">
              <w:rPr>
                <w:rFonts w:cstheme="minorHAnsi"/>
                <w:color w:val="000000"/>
              </w:rPr>
              <w:t>154,6</w:t>
            </w:r>
          </w:p>
        </w:tc>
      </w:tr>
      <w:tr w:rsidR="0088680E" w:rsidRPr="00B4077C" w14:paraId="6B381E06" w14:textId="77777777" w:rsidTr="00717309">
        <w:trPr>
          <w:trHeight w:val="259"/>
        </w:trPr>
        <w:tc>
          <w:tcPr>
            <w:tcW w:w="1132" w:type="dxa"/>
            <w:noWrap/>
            <w:tcMar>
              <w:top w:w="0" w:type="dxa"/>
              <w:left w:w="70" w:type="dxa"/>
              <w:bottom w:w="0" w:type="dxa"/>
              <w:right w:w="70" w:type="dxa"/>
            </w:tcMar>
            <w:vAlign w:val="center"/>
            <w:hideMark/>
          </w:tcPr>
          <w:p w14:paraId="342FDFEF" w14:textId="77777777" w:rsidR="0088680E" w:rsidRPr="00B4077C" w:rsidRDefault="0088680E" w:rsidP="009F7D7F">
            <w:pPr>
              <w:spacing w:after="0"/>
              <w:rPr>
                <w:rFonts w:cstheme="minorHAnsi"/>
              </w:rPr>
            </w:pPr>
            <w:r w:rsidRPr="00B4077C">
              <w:rPr>
                <w:rFonts w:cstheme="minorHAnsi"/>
                <w:color w:val="000000"/>
              </w:rPr>
              <w:t>Romania</w:t>
            </w:r>
          </w:p>
        </w:tc>
        <w:tc>
          <w:tcPr>
            <w:tcW w:w="1245" w:type="dxa"/>
            <w:noWrap/>
            <w:tcMar>
              <w:top w:w="0" w:type="dxa"/>
              <w:left w:w="70" w:type="dxa"/>
              <w:bottom w:w="0" w:type="dxa"/>
              <w:right w:w="70" w:type="dxa"/>
            </w:tcMar>
            <w:vAlign w:val="center"/>
            <w:hideMark/>
          </w:tcPr>
          <w:p w14:paraId="2BAE9A7C" w14:textId="77777777" w:rsidR="0088680E" w:rsidRPr="00B4077C" w:rsidRDefault="0088680E" w:rsidP="009F7D7F">
            <w:pPr>
              <w:spacing w:after="0"/>
              <w:jc w:val="center"/>
              <w:rPr>
                <w:rFonts w:cstheme="minorHAnsi"/>
              </w:rPr>
            </w:pPr>
            <w:r w:rsidRPr="00B4077C">
              <w:rPr>
                <w:rFonts w:cstheme="minorHAnsi"/>
                <w:color w:val="000000"/>
              </w:rPr>
              <w:t>71,55</w:t>
            </w:r>
          </w:p>
        </w:tc>
        <w:tc>
          <w:tcPr>
            <w:tcW w:w="2030" w:type="dxa"/>
            <w:noWrap/>
            <w:tcMar>
              <w:top w:w="0" w:type="dxa"/>
              <w:left w:w="70" w:type="dxa"/>
              <w:bottom w:w="0" w:type="dxa"/>
              <w:right w:w="70" w:type="dxa"/>
            </w:tcMar>
            <w:vAlign w:val="center"/>
            <w:hideMark/>
          </w:tcPr>
          <w:p w14:paraId="64694589" w14:textId="77777777" w:rsidR="0088680E" w:rsidRPr="00B4077C" w:rsidRDefault="0088680E" w:rsidP="009F7D7F">
            <w:pPr>
              <w:spacing w:after="0"/>
              <w:jc w:val="center"/>
              <w:rPr>
                <w:rFonts w:cstheme="minorHAnsi"/>
              </w:rPr>
            </w:pPr>
            <w:r w:rsidRPr="00B4077C">
              <w:rPr>
                <w:rFonts w:cstheme="minorHAnsi"/>
                <w:color w:val="000000"/>
              </w:rPr>
              <w:t>286,2</w:t>
            </w:r>
          </w:p>
        </w:tc>
        <w:tc>
          <w:tcPr>
            <w:tcW w:w="1527" w:type="dxa"/>
            <w:noWrap/>
            <w:tcMar>
              <w:top w:w="0" w:type="dxa"/>
              <w:left w:w="70" w:type="dxa"/>
              <w:bottom w:w="0" w:type="dxa"/>
              <w:right w:w="70" w:type="dxa"/>
            </w:tcMar>
            <w:vAlign w:val="center"/>
            <w:hideMark/>
          </w:tcPr>
          <w:p w14:paraId="359D8557" w14:textId="77777777" w:rsidR="0088680E" w:rsidRPr="00B4077C" w:rsidRDefault="0088680E" w:rsidP="009F7D7F">
            <w:pPr>
              <w:spacing w:after="0"/>
              <w:jc w:val="center"/>
              <w:rPr>
                <w:rFonts w:cstheme="minorHAnsi"/>
              </w:rPr>
            </w:pPr>
            <w:r w:rsidRPr="00B4077C">
              <w:rPr>
                <w:rFonts w:cstheme="minorHAnsi"/>
                <w:color w:val="000000"/>
              </w:rPr>
              <w:t>29,4</w:t>
            </w:r>
          </w:p>
        </w:tc>
        <w:tc>
          <w:tcPr>
            <w:tcW w:w="1487" w:type="dxa"/>
            <w:noWrap/>
            <w:tcMar>
              <w:top w:w="0" w:type="dxa"/>
              <w:left w:w="70" w:type="dxa"/>
              <w:bottom w:w="0" w:type="dxa"/>
              <w:right w:w="70" w:type="dxa"/>
            </w:tcMar>
            <w:vAlign w:val="center"/>
            <w:hideMark/>
          </w:tcPr>
          <w:p w14:paraId="77113C02" w14:textId="77777777" w:rsidR="0088680E" w:rsidRPr="00B4077C" w:rsidRDefault="0088680E" w:rsidP="009F7D7F">
            <w:pPr>
              <w:spacing w:after="0"/>
              <w:jc w:val="center"/>
              <w:rPr>
                <w:rFonts w:cstheme="minorHAnsi"/>
              </w:rPr>
            </w:pPr>
            <w:r w:rsidRPr="00B4077C">
              <w:rPr>
                <w:rFonts w:cstheme="minorHAnsi"/>
                <w:color w:val="000000"/>
              </w:rPr>
              <w:t>117,6</w:t>
            </w:r>
          </w:p>
        </w:tc>
      </w:tr>
    </w:tbl>
    <w:p w14:paraId="63CC5623" w14:textId="687AC0BA" w:rsidR="00C243CD" w:rsidRPr="00B4077C" w:rsidRDefault="00C243CD" w:rsidP="00C243CD">
      <w:pPr>
        <w:spacing w:after="0"/>
        <w:jc w:val="both"/>
        <w:rPr>
          <w:rFonts w:cstheme="minorHAnsi"/>
        </w:rPr>
      </w:pPr>
      <w:r w:rsidRPr="00B4077C">
        <w:rPr>
          <w:rFonts w:cstheme="minorHAnsi"/>
        </w:rPr>
        <w:t xml:space="preserve">Fonte: Elaborazioni Confesercenti FAIB </w:t>
      </w:r>
    </w:p>
    <w:p w14:paraId="03367EE4" w14:textId="77777777" w:rsidR="00866B8A" w:rsidRPr="00B4077C" w:rsidRDefault="00866B8A" w:rsidP="00866B8A">
      <w:pPr>
        <w:spacing w:after="0" w:line="360" w:lineRule="auto"/>
        <w:rPr>
          <w:rFonts w:cstheme="minorHAnsi"/>
          <w:b/>
          <w:bCs/>
        </w:rPr>
      </w:pPr>
    </w:p>
    <w:p w14:paraId="5CAE977D" w14:textId="3C03A180" w:rsidR="00866B8A" w:rsidRPr="00B4077C" w:rsidRDefault="00866B8A" w:rsidP="00866B8A">
      <w:pPr>
        <w:spacing w:after="0" w:line="240" w:lineRule="auto"/>
        <w:rPr>
          <w:rFonts w:cstheme="minorHAnsi"/>
          <w:b/>
          <w:bCs/>
          <w:sz w:val="20"/>
          <w:szCs w:val="20"/>
        </w:rPr>
      </w:pPr>
      <w:r w:rsidRPr="00B4077C">
        <w:rPr>
          <w:rFonts w:cstheme="minorHAnsi"/>
          <w:b/>
          <w:bCs/>
          <w:sz w:val="20"/>
          <w:szCs w:val="20"/>
        </w:rPr>
        <w:t>Differenziale tra il prezzo pagato in Italia e l’Unione Europa</w:t>
      </w:r>
    </w:p>
    <w:tbl>
      <w:tblPr>
        <w:tblW w:w="9687" w:type="dxa"/>
        <w:tblCellMar>
          <w:left w:w="70" w:type="dxa"/>
          <w:right w:w="70" w:type="dxa"/>
        </w:tblCellMar>
        <w:tblLook w:val="04A0" w:firstRow="1" w:lastRow="0" w:firstColumn="1" w:lastColumn="0" w:noHBand="0" w:noVBand="1"/>
      </w:tblPr>
      <w:tblGrid>
        <w:gridCol w:w="2111"/>
        <w:gridCol w:w="2668"/>
        <w:gridCol w:w="1356"/>
        <w:gridCol w:w="2355"/>
        <w:gridCol w:w="1197"/>
      </w:tblGrid>
      <w:tr w:rsidR="00866B8A" w:rsidRPr="00B4077C" w14:paraId="60C4F4B6" w14:textId="77777777" w:rsidTr="00BF2BCA">
        <w:trPr>
          <w:trHeight w:val="253"/>
        </w:trPr>
        <w:tc>
          <w:tcPr>
            <w:tcW w:w="2111" w:type="dxa"/>
            <w:vMerge w:val="restart"/>
            <w:tcBorders>
              <w:top w:val="single" w:sz="4" w:space="0" w:color="auto"/>
            </w:tcBorders>
            <w:shd w:val="clear" w:color="auto" w:fill="auto"/>
            <w:noWrap/>
            <w:vAlign w:val="center"/>
            <w:hideMark/>
          </w:tcPr>
          <w:p w14:paraId="30F68C20"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 </w:t>
            </w:r>
          </w:p>
        </w:tc>
        <w:tc>
          <w:tcPr>
            <w:tcW w:w="4024" w:type="dxa"/>
            <w:gridSpan w:val="2"/>
            <w:tcBorders>
              <w:top w:val="single" w:sz="4" w:space="0" w:color="auto"/>
            </w:tcBorders>
            <w:shd w:val="clear" w:color="auto" w:fill="auto"/>
            <w:noWrap/>
            <w:vAlign w:val="center"/>
            <w:hideMark/>
          </w:tcPr>
          <w:p w14:paraId="7D6A7FD0"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benzina</w:t>
            </w:r>
          </w:p>
        </w:tc>
        <w:tc>
          <w:tcPr>
            <w:tcW w:w="3552" w:type="dxa"/>
            <w:gridSpan w:val="2"/>
            <w:tcBorders>
              <w:top w:val="single" w:sz="4" w:space="0" w:color="auto"/>
            </w:tcBorders>
            <w:shd w:val="clear" w:color="auto" w:fill="auto"/>
            <w:noWrap/>
            <w:vAlign w:val="center"/>
            <w:hideMark/>
          </w:tcPr>
          <w:p w14:paraId="79B646BF"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gasolio</w:t>
            </w:r>
          </w:p>
        </w:tc>
      </w:tr>
      <w:tr w:rsidR="00866B8A" w:rsidRPr="00B4077C" w14:paraId="4DA4BC19" w14:textId="77777777" w:rsidTr="00BF2BCA">
        <w:trPr>
          <w:trHeight w:val="253"/>
        </w:trPr>
        <w:tc>
          <w:tcPr>
            <w:tcW w:w="2111" w:type="dxa"/>
            <w:vMerge/>
            <w:tcBorders>
              <w:bottom w:val="single" w:sz="4" w:space="0" w:color="auto"/>
            </w:tcBorders>
            <w:vAlign w:val="center"/>
            <w:hideMark/>
          </w:tcPr>
          <w:p w14:paraId="7EECD689" w14:textId="77777777" w:rsidR="00866B8A" w:rsidRPr="00B4077C" w:rsidRDefault="00866B8A" w:rsidP="00BF2BCA">
            <w:pPr>
              <w:spacing w:after="0" w:line="240" w:lineRule="auto"/>
              <w:rPr>
                <w:rFonts w:eastAsia="Times New Roman" w:cstheme="minorHAnsi"/>
                <w:sz w:val="20"/>
                <w:szCs w:val="20"/>
                <w:lang w:eastAsia="it-IT"/>
              </w:rPr>
            </w:pPr>
          </w:p>
        </w:tc>
        <w:tc>
          <w:tcPr>
            <w:tcW w:w="2668" w:type="dxa"/>
            <w:tcBorders>
              <w:bottom w:val="single" w:sz="4" w:space="0" w:color="auto"/>
            </w:tcBorders>
            <w:shd w:val="clear" w:color="auto" w:fill="auto"/>
            <w:noWrap/>
            <w:vAlign w:val="center"/>
            <w:hideMark/>
          </w:tcPr>
          <w:p w14:paraId="5EEF3F9A"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prezzo consumo</w:t>
            </w:r>
          </w:p>
        </w:tc>
        <w:tc>
          <w:tcPr>
            <w:tcW w:w="1356" w:type="dxa"/>
            <w:tcBorders>
              <w:bottom w:val="single" w:sz="4" w:space="0" w:color="auto"/>
            </w:tcBorders>
            <w:shd w:val="clear" w:color="auto" w:fill="auto"/>
            <w:noWrap/>
            <w:vAlign w:val="center"/>
            <w:hideMark/>
          </w:tcPr>
          <w:p w14:paraId="1B67DE46"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imposte</w:t>
            </w:r>
          </w:p>
        </w:tc>
        <w:tc>
          <w:tcPr>
            <w:tcW w:w="2355" w:type="dxa"/>
            <w:tcBorders>
              <w:bottom w:val="single" w:sz="4" w:space="0" w:color="auto"/>
            </w:tcBorders>
            <w:shd w:val="clear" w:color="auto" w:fill="auto"/>
            <w:noWrap/>
            <w:vAlign w:val="center"/>
            <w:hideMark/>
          </w:tcPr>
          <w:p w14:paraId="7AC6E969"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prezzo consumo</w:t>
            </w:r>
          </w:p>
        </w:tc>
        <w:tc>
          <w:tcPr>
            <w:tcW w:w="1197" w:type="dxa"/>
            <w:tcBorders>
              <w:bottom w:val="single" w:sz="4" w:space="0" w:color="auto"/>
            </w:tcBorders>
            <w:shd w:val="clear" w:color="auto" w:fill="auto"/>
            <w:noWrap/>
            <w:vAlign w:val="center"/>
            <w:hideMark/>
          </w:tcPr>
          <w:p w14:paraId="3BF55403"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imposte</w:t>
            </w:r>
          </w:p>
        </w:tc>
      </w:tr>
      <w:tr w:rsidR="00866B8A" w:rsidRPr="00B4077C" w14:paraId="35CA248D" w14:textId="77777777" w:rsidTr="00BF2BCA">
        <w:trPr>
          <w:trHeight w:val="253"/>
        </w:trPr>
        <w:tc>
          <w:tcPr>
            <w:tcW w:w="2111" w:type="dxa"/>
            <w:tcBorders>
              <w:top w:val="single" w:sz="4" w:space="0" w:color="auto"/>
            </w:tcBorders>
            <w:shd w:val="clear" w:color="auto" w:fill="auto"/>
            <w:noWrap/>
            <w:vAlign w:val="center"/>
            <w:hideMark/>
          </w:tcPr>
          <w:p w14:paraId="43D0F016"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2018</w:t>
            </w:r>
          </w:p>
        </w:tc>
        <w:tc>
          <w:tcPr>
            <w:tcW w:w="2668" w:type="dxa"/>
            <w:tcBorders>
              <w:top w:val="single" w:sz="4" w:space="0" w:color="auto"/>
            </w:tcBorders>
            <w:shd w:val="clear" w:color="auto" w:fill="auto"/>
            <w:noWrap/>
            <w:vAlign w:val="center"/>
            <w:hideMark/>
          </w:tcPr>
          <w:p w14:paraId="41975023"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0,235</w:t>
            </w:r>
          </w:p>
        </w:tc>
        <w:tc>
          <w:tcPr>
            <w:tcW w:w="1356" w:type="dxa"/>
            <w:tcBorders>
              <w:top w:val="single" w:sz="4" w:space="0" w:color="auto"/>
            </w:tcBorders>
            <w:shd w:val="clear" w:color="auto" w:fill="auto"/>
            <w:noWrap/>
            <w:vAlign w:val="center"/>
            <w:hideMark/>
          </w:tcPr>
          <w:p w14:paraId="64EA27E1"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0,224</w:t>
            </w:r>
          </w:p>
        </w:tc>
        <w:tc>
          <w:tcPr>
            <w:tcW w:w="2355" w:type="dxa"/>
            <w:tcBorders>
              <w:top w:val="single" w:sz="4" w:space="0" w:color="auto"/>
            </w:tcBorders>
            <w:shd w:val="clear" w:color="auto" w:fill="auto"/>
            <w:noWrap/>
            <w:vAlign w:val="center"/>
            <w:hideMark/>
          </w:tcPr>
          <w:p w14:paraId="0608C26D"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0,195</w:t>
            </w:r>
          </w:p>
        </w:tc>
        <w:tc>
          <w:tcPr>
            <w:tcW w:w="1197" w:type="dxa"/>
            <w:tcBorders>
              <w:top w:val="single" w:sz="4" w:space="0" w:color="auto"/>
            </w:tcBorders>
            <w:shd w:val="clear" w:color="auto" w:fill="auto"/>
            <w:noWrap/>
            <w:vAlign w:val="center"/>
            <w:hideMark/>
          </w:tcPr>
          <w:p w14:paraId="1917815A"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0,215</w:t>
            </w:r>
          </w:p>
        </w:tc>
      </w:tr>
      <w:tr w:rsidR="00866B8A" w:rsidRPr="00B4077C" w14:paraId="006841BD" w14:textId="77777777" w:rsidTr="00BF2BCA">
        <w:trPr>
          <w:trHeight w:val="253"/>
        </w:trPr>
        <w:tc>
          <w:tcPr>
            <w:tcW w:w="2111" w:type="dxa"/>
            <w:shd w:val="clear" w:color="auto" w:fill="auto"/>
            <w:noWrap/>
            <w:vAlign w:val="center"/>
            <w:hideMark/>
          </w:tcPr>
          <w:p w14:paraId="26E8FA4F"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2019</w:t>
            </w:r>
          </w:p>
        </w:tc>
        <w:tc>
          <w:tcPr>
            <w:tcW w:w="2668" w:type="dxa"/>
            <w:shd w:val="clear" w:color="auto" w:fill="auto"/>
            <w:noWrap/>
            <w:vAlign w:val="center"/>
            <w:hideMark/>
          </w:tcPr>
          <w:p w14:paraId="52D76E4F"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0,218</w:t>
            </w:r>
          </w:p>
        </w:tc>
        <w:tc>
          <w:tcPr>
            <w:tcW w:w="1356" w:type="dxa"/>
            <w:shd w:val="clear" w:color="auto" w:fill="auto"/>
            <w:noWrap/>
            <w:vAlign w:val="center"/>
            <w:hideMark/>
          </w:tcPr>
          <w:p w14:paraId="2DAF9CB9"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0,224</w:t>
            </w:r>
          </w:p>
        </w:tc>
        <w:tc>
          <w:tcPr>
            <w:tcW w:w="2355" w:type="dxa"/>
            <w:shd w:val="clear" w:color="auto" w:fill="auto"/>
            <w:noWrap/>
            <w:vAlign w:val="center"/>
            <w:hideMark/>
          </w:tcPr>
          <w:p w14:paraId="451C3EBF"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0,183</w:t>
            </w:r>
          </w:p>
        </w:tc>
        <w:tc>
          <w:tcPr>
            <w:tcW w:w="1197" w:type="dxa"/>
            <w:shd w:val="clear" w:color="auto" w:fill="auto"/>
            <w:noWrap/>
            <w:vAlign w:val="center"/>
            <w:hideMark/>
          </w:tcPr>
          <w:p w14:paraId="67A0018C"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0,205</w:t>
            </w:r>
          </w:p>
        </w:tc>
      </w:tr>
      <w:tr w:rsidR="00866B8A" w:rsidRPr="00B4077C" w14:paraId="30F51AB6" w14:textId="77777777" w:rsidTr="00BF2BCA">
        <w:trPr>
          <w:trHeight w:val="253"/>
        </w:trPr>
        <w:tc>
          <w:tcPr>
            <w:tcW w:w="2111" w:type="dxa"/>
            <w:shd w:val="clear" w:color="auto" w:fill="auto"/>
            <w:noWrap/>
            <w:vAlign w:val="center"/>
            <w:hideMark/>
          </w:tcPr>
          <w:p w14:paraId="3AAE9606"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2020</w:t>
            </w:r>
          </w:p>
        </w:tc>
        <w:tc>
          <w:tcPr>
            <w:tcW w:w="2668" w:type="dxa"/>
            <w:shd w:val="clear" w:color="auto" w:fill="auto"/>
            <w:noWrap/>
            <w:vAlign w:val="center"/>
            <w:hideMark/>
          </w:tcPr>
          <w:p w14:paraId="56BE3E05"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0,212</w:t>
            </w:r>
          </w:p>
        </w:tc>
        <w:tc>
          <w:tcPr>
            <w:tcW w:w="1356" w:type="dxa"/>
            <w:shd w:val="clear" w:color="auto" w:fill="auto"/>
            <w:noWrap/>
            <w:vAlign w:val="center"/>
            <w:hideMark/>
          </w:tcPr>
          <w:p w14:paraId="5B5E25E0"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0,227</w:t>
            </w:r>
          </w:p>
        </w:tc>
        <w:tc>
          <w:tcPr>
            <w:tcW w:w="2355" w:type="dxa"/>
            <w:shd w:val="clear" w:color="auto" w:fill="auto"/>
            <w:noWrap/>
            <w:vAlign w:val="center"/>
            <w:hideMark/>
          </w:tcPr>
          <w:p w14:paraId="45DFD6F8"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0,185</w:t>
            </w:r>
          </w:p>
        </w:tc>
        <w:tc>
          <w:tcPr>
            <w:tcW w:w="1197" w:type="dxa"/>
            <w:shd w:val="clear" w:color="auto" w:fill="auto"/>
            <w:noWrap/>
            <w:vAlign w:val="center"/>
            <w:hideMark/>
          </w:tcPr>
          <w:p w14:paraId="3746C4B5"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0,206</w:t>
            </w:r>
          </w:p>
        </w:tc>
      </w:tr>
      <w:tr w:rsidR="00866B8A" w:rsidRPr="00B4077C" w14:paraId="505AD551" w14:textId="77777777" w:rsidTr="00BF2BCA">
        <w:trPr>
          <w:trHeight w:val="253"/>
        </w:trPr>
        <w:tc>
          <w:tcPr>
            <w:tcW w:w="2111" w:type="dxa"/>
            <w:shd w:val="clear" w:color="auto" w:fill="auto"/>
            <w:noWrap/>
            <w:vAlign w:val="center"/>
            <w:hideMark/>
          </w:tcPr>
          <w:p w14:paraId="460E927B"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2021</w:t>
            </w:r>
          </w:p>
        </w:tc>
        <w:tc>
          <w:tcPr>
            <w:tcW w:w="2668" w:type="dxa"/>
            <w:shd w:val="clear" w:color="auto" w:fill="auto"/>
            <w:noWrap/>
            <w:vAlign w:val="center"/>
            <w:hideMark/>
          </w:tcPr>
          <w:p w14:paraId="381654C5"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0,203</w:t>
            </w:r>
          </w:p>
        </w:tc>
        <w:tc>
          <w:tcPr>
            <w:tcW w:w="1356" w:type="dxa"/>
            <w:shd w:val="clear" w:color="auto" w:fill="auto"/>
            <w:noWrap/>
            <w:vAlign w:val="center"/>
            <w:hideMark/>
          </w:tcPr>
          <w:p w14:paraId="4BBEEC79"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0,216</w:t>
            </w:r>
          </w:p>
        </w:tc>
        <w:tc>
          <w:tcPr>
            <w:tcW w:w="2355" w:type="dxa"/>
            <w:shd w:val="clear" w:color="auto" w:fill="auto"/>
            <w:noWrap/>
            <w:vAlign w:val="center"/>
            <w:hideMark/>
          </w:tcPr>
          <w:p w14:paraId="7682AECD"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0,195</w:t>
            </w:r>
          </w:p>
        </w:tc>
        <w:tc>
          <w:tcPr>
            <w:tcW w:w="1197" w:type="dxa"/>
            <w:shd w:val="clear" w:color="auto" w:fill="auto"/>
            <w:noWrap/>
            <w:vAlign w:val="center"/>
            <w:hideMark/>
          </w:tcPr>
          <w:p w14:paraId="0E78EE4E"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0,214</w:t>
            </w:r>
          </w:p>
        </w:tc>
      </w:tr>
      <w:tr w:rsidR="00866B8A" w:rsidRPr="00B4077C" w14:paraId="65DE444A" w14:textId="77777777" w:rsidTr="00BF2BCA">
        <w:trPr>
          <w:trHeight w:val="253"/>
        </w:trPr>
        <w:tc>
          <w:tcPr>
            <w:tcW w:w="2111" w:type="dxa"/>
            <w:shd w:val="clear" w:color="auto" w:fill="auto"/>
            <w:noWrap/>
            <w:vAlign w:val="center"/>
            <w:hideMark/>
          </w:tcPr>
          <w:p w14:paraId="47B659FE"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2022</w:t>
            </w:r>
          </w:p>
        </w:tc>
        <w:tc>
          <w:tcPr>
            <w:tcW w:w="2668" w:type="dxa"/>
            <w:shd w:val="clear" w:color="auto" w:fill="auto"/>
            <w:noWrap/>
            <w:vAlign w:val="center"/>
            <w:hideMark/>
          </w:tcPr>
          <w:p w14:paraId="39A74FBF"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0,079</w:t>
            </w:r>
          </w:p>
        </w:tc>
        <w:tc>
          <w:tcPr>
            <w:tcW w:w="1356" w:type="dxa"/>
            <w:shd w:val="clear" w:color="auto" w:fill="auto"/>
            <w:noWrap/>
            <w:vAlign w:val="center"/>
            <w:hideMark/>
          </w:tcPr>
          <w:p w14:paraId="62AB307F"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0,053</w:t>
            </w:r>
          </w:p>
        </w:tc>
        <w:tc>
          <w:tcPr>
            <w:tcW w:w="2355" w:type="dxa"/>
            <w:shd w:val="clear" w:color="auto" w:fill="auto"/>
            <w:noWrap/>
            <w:vAlign w:val="center"/>
            <w:hideMark/>
          </w:tcPr>
          <w:p w14:paraId="5C70575F"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0,032</w:t>
            </w:r>
          </w:p>
        </w:tc>
        <w:tc>
          <w:tcPr>
            <w:tcW w:w="1197" w:type="dxa"/>
            <w:shd w:val="clear" w:color="auto" w:fill="auto"/>
            <w:noWrap/>
            <w:vAlign w:val="center"/>
            <w:hideMark/>
          </w:tcPr>
          <w:p w14:paraId="5CD4AC2E"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0,044</w:t>
            </w:r>
          </w:p>
        </w:tc>
      </w:tr>
      <w:tr w:rsidR="00866B8A" w:rsidRPr="00B4077C" w14:paraId="75E6C3F6" w14:textId="77777777" w:rsidTr="00BF2BCA">
        <w:trPr>
          <w:trHeight w:val="253"/>
        </w:trPr>
        <w:tc>
          <w:tcPr>
            <w:tcW w:w="2111" w:type="dxa"/>
            <w:tcBorders>
              <w:bottom w:val="single" w:sz="4" w:space="0" w:color="auto"/>
            </w:tcBorders>
            <w:shd w:val="clear" w:color="auto" w:fill="auto"/>
            <w:noWrap/>
            <w:vAlign w:val="center"/>
            <w:hideMark/>
          </w:tcPr>
          <w:p w14:paraId="1AEEB416"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 xml:space="preserve">2023 </w:t>
            </w:r>
            <w:proofErr w:type="spellStart"/>
            <w:r w:rsidRPr="00B4077C">
              <w:rPr>
                <w:rFonts w:eastAsia="Times New Roman" w:cstheme="minorHAnsi"/>
                <w:sz w:val="20"/>
                <w:szCs w:val="20"/>
                <w:lang w:eastAsia="it-IT"/>
              </w:rPr>
              <w:t>gen</w:t>
            </w:r>
            <w:proofErr w:type="spellEnd"/>
            <w:r w:rsidRPr="00B4077C">
              <w:rPr>
                <w:rFonts w:eastAsia="Times New Roman" w:cstheme="minorHAnsi"/>
                <w:sz w:val="20"/>
                <w:szCs w:val="20"/>
                <w:lang w:eastAsia="it-IT"/>
              </w:rPr>
              <w:t xml:space="preserve"> - ago</w:t>
            </w:r>
          </w:p>
        </w:tc>
        <w:tc>
          <w:tcPr>
            <w:tcW w:w="2668" w:type="dxa"/>
            <w:tcBorders>
              <w:bottom w:val="single" w:sz="4" w:space="0" w:color="auto"/>
            </w:tcBorders>
            <w:shd w:val="clear" w:color="auto" w:fill="auto"/>
            <w:noWrap/>
            <w:vAlign w:val="center"/>
            <w:hideMark/>
          </w:tcPr>
          <w:p w14:paraId="527F645E"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0,224</w:t>
            </w:r>
          </w:p>
        </w:tc>
        <w:tc>
          <w:tcPr>
            <w:tcW w:w="1356" w:type="dxa"/>
            <w:tcBorders>
              <w:bottom w:val="single" w:sz="4" w:space="0" w:color="auto"/>
            </w:tcBorders>
            <w:shd w:val="clear" w:color="auto" w:fill="auto"/>
            <w:noWrap/>
            <w:vAlign w:val="center"/>
            <w:hideMark/>
          </w:tcPr>
          <w:p w14:paraId="7C3A42B6"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0,236</w:t>
            </w:r>
          </w:p>
        </w:tc>
        <w:tc>
          <w:tcPr>
            <w:tcW w:w="2355" w:type="dxa"/>
            <w:tcBorders>
              <w:bottom w:val="single" w:sz="4" w:space="0" w:color="auto"/>
            </w:tcBorders>
            <w:shd w:val="clear" w:color="auto" w:fill="auto"/>
            <w:noWrap/>
            <w:vAlign w:val="center"/>
            <w:hideMark/>
          </w:tcPr>
          <w:p w14:paraId="621E34C7"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0,183</w:t>
            </w:r>
          </w:p>
        </w:tc>
        <w:tc>
          <w:tcPr>
            <w:tcW w:w="1197" w:type="dxa"/>
            <w:tcBorders>
              <w:bottom w:val="single" w:sz="4" w:space="0" w:color="auto"/>
            </w:tcBorders>
            <w:shd w:val="clear" w:color="auto" w:fill="auto"/>
            <w:noWrap/>
            <w:vAlign w:val="center"/>
            <w:hideMark/>
          </w:tcPr>
          <w:p w14:paraId="3BDBAF74" w14:textId="77777777" w:rsidR="00866B8A" w:rsidRPr="00B4077C" w:rsidRDefault="00866B8A"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0,223</w:t>
            </w:r>
          </w:p>
        </w:tc>
      </w:tr>
    </w:tbl>
    <w:p w14:paraId="30F8B7DE" w14:textId="49325F84" w:rsidR="00866B8A" w:rsidRPr="00B4077C" w:rsidRDefault="00866B8A" w:rsidP="00866B8A">
      <w:pPr>
        <w:spacing w:after="0" w:line="240" w:lineRule="auto"/>
        <w:rPr>
          <w:rFonts w:cstheme="minorHAnsi"/>
          <w:noProof/>
          <w:sz w:val="20"/>
          <w:szCs w:val="20"/>
        </w:rPr>
      </w:pPr>
      <w:r w:rsidRPr="00B4077C">
        <w:rPr>
          <w:rFonts w:cstheme="minorHAnsi"/>
          <w:noProof/>
          <w:sz w:val="20"/>
          <w:szCs w:val="20"/>
        </w:rPr>
        <w:t>Fonte: Elaborazioni Confesercenti su dati MI</w:t>
      </w:r>
      <w:r w:rsidR="00C243CD" w:rsidRPr="00B4077C">
        <w:rPr>
          <w:rFonts w:cstheme="minorHAnsi"/>
          <w:noProof/>
          <w:sz w:val="20"/>
          <w:szCs w:val="20"/>
        </w:rPr>
        <w:t>MIT</w:t>
      </w:r>
    </w:p>
    <w:p w14:paraId="6DC07454" w14:textId="77777777" w:rsidR="00C243CD" w:rsidRPr="00B4077C" w:rsidRDefault="00C243CD" w:rsidP="00717309">
      <w:pPr>
        <w:rPr>
          <w:rFonts w:cstheme="minorHAnsi"/>
          <w:b/>
          <w:bCs/>
        </w:rPr>
      </w:pPr>
    </w:p>
    <w:p w14:paraId="5349BDC1" w14:textId="484081CD" w:rsidR="009F7D7F" w:rsidRPr="00B4077C" w:rsidRDefault="00717309" w:rsidP="00717309">
      <w:pPr>
        <w:rPr>
          <w:rFonts w:cstheme="minorHAnsi"/>
          <w:b/>
          <w:bCs/>
        </w:rPr>
      </w:pPr>
      <w:r w:rsidRPr="00B4077C">
        <w:rPr>
          <w:rFonts w:cstheme="minorHAnsi"/>
          <w:b/>
          <w:bCs/>
        </w:rPr>
        <w:t>Chi stabilisce il prezzo dei carburanti?</w:t>
      </w:r>
    </w:p>
    <w:p w14:paraId="31F98557" w14:textId="6F87B2DE" w:rsidR="00717309" w:rsidRPr="00B4077C" w:rsidRDefault="00717309" w:rsidP="00717309">
      <w:pPr>
        <w:jc w:val="both"/>
        <w:rPr>
          <w:rFonts w:cstheme="minorHAnsi"/>
        </w:rPr>
      </w:pPr>
      <w:r w:rsidRPr="00B4077C">
        <w:rPr>
          <w:rFonts w:cstheme="minorHAnsi"/>
        </w:rPr>
        <w:t xml:space="preserve">In Italia, come in Europa, il meccanismo di formazione dei prezzi sul mercato dei carburanti si basa sulle quotazioni petrolifere internazionali pubblicate </w:t>
      </w:r>
      <w:r w:rsidR="0003103C" w:rsidRPr="00B4077C">
        <w:rPr>
          <w:rFonts w:cstheme="minorHAnsi"/>
        </w:rPr>
        <w:t>quotidianamente da</w:t>
      </w:r>
      <w:r w:rsidR="0003103C">
        <w:rPr>
          <w:rFonts w:cstheme="minorHAnsi"/>
        </w:rPr>
        <w:t xml:space="preserve">l </w:t>
      </w:r>
      <w:proofErr w:type="spellStart"/>
      <w:r w:rsidR="0003103C" w:rsidRPr="00B4077C">
        <w:rPr>
          <w:rFonts w:cstheme="minorHAnsi"/>
        </w:rPr>
        <w:t>Platt’s</w:t>
      </w:r>
      <w:proofErr w:type="spellEnd"/>
      <w:r w:rsidR="0003103C" w:rsidRPr="00B4077C">
        <w:rPr>
          <w:rFonts w:cstheme="minorHAnsi"/>
        </w:rPr>
        <w:t>,</w:t>
      </w:r>
      <w:r w:rsidR="0003103C" w:rsidRPr="006F5A40">
        <w:rPr>
          <w:rFonts w:ascii="Roboto" w:hAnsi="Roboto"/>
          <w:color w:val="000000"/>
          <w:sz w:val="27"/>
          <w:szCs w:val="27"/>
          <w:shd w:val="clear" w:color="auto" w:fill="FFFFFF"/>
        </w:rPr>
        <w:t xml:space="preserve"> </w:t>
      </w:r>
      <w:r w:rsidR="0003103C" w:rsidRPr="006F5A40">
        <w:rPr>
          <w:rFonts w:cstheme="minorHAnsi"/>
          <w:color w:val="000000"/>
          <w:shd w:val="clear" w:color="auto" w:fill="FFFFFF"/>
        </w:rPr>
        <w:t>agenzia specializzat</w:t>
      </w:r>
      <w:r w:rsidR="0003103C">
        <w:rPr>
          <w:rFonts w:cstheme="minorHAnsi"/>
          <w:color w:val="000000"/>
          <w:shd w:val="clear" w:color="auto" w:fill="FFFFFF"/>
        </w:rPr>
        <w:t>a</w:t>
      </w:r>
      <w:r w:rsidR="0003103C" w:rsidRPr="006F5A40">
        <w:rPr>
          <w:rFonts w:cstheme="minorHAnsi"/>
          <w:color w:val="000000"/>
          <w:shd w:val="clear" w:color="auto" w:fill="FFFFFF"/>
        </w:rPr>
        <w:t xml:space="preserve"> che determina il valore in dollari USA al quale la benzina può essere venduta a tonnellata dalle società di raffinazione</w:t>
      </w:r>
      <w:r w:rsidR="0003103C" w:rsidRPr="006F5A40">
        <w:rPr>
          <w:rFonts w:cstheme="minorHAnsi"/>
        </w:rPr>
        <w:t>.</w:t>
      </w:r>
      <w:r w:rsidR="006F5A40" w:rsidRPr="006F5A40">
        <w:rPr>
          <w:rFonts w:ascii="Roboto" w:hAnsi="Roboto"/>
          <w:color w:val="000000"/>
          <w:sz w:val="27"/>
          <w:szCs w:val="27"/>
          <w:shd w:val="clear" w:color="auto" w:fill="FFFFFF"/>
        </w:rPr>
        <w:t xml:space="preserve"> </w:t>
      </w:r>
      <w:r w:rsidR="006F5A40" w:rsidRPr="006F5A40">
        <w:rPr>
          <w:rFonts w:cstheme="minorHAnsi"/>
          <w:color w:val="000000"/>
          <w:shd w:val="clear" w:color="auto" w:fill="FFFFFF"/>
        </w:rPr>
        <w:t>un’agenzia specializzata fondata nel 1909 con sede a Londra che determina il valore in dollari USA al quale la benzina può essere venduta a tonnellata dalle società di raffinazione</w:t>
      </w:r>
      <w:r w:rsidRPr="006F5A40">
        <w:rPr>
          <w:rFonts w:cstheme="minorHAnsi"/>
        </w:rPr>
        <w:t>.</w:t>
      </w:r>
      <w:r w:rsidRPr="00B4077C">
        <w:rPr>
          <w:rFonts w:cstheme="minorHAnsi"/>
        </w:rPr>
        <w:t xml:space="preserve"> Per gli operatori che vendono carburanti sul mercato italiano questi prezzi rappresentano i costi di approvvigionamento, a cui per ottenere i prezzi finali al consumo vanno sommati i ricavi industriali delle compagnie e le tasse. Il ricavo industriale va a copertura di una pluralità di costi: industriali, logistica e trasporto, margine del gestore, investimenti punto vendita, pubblicità e promozioni. </w:t>
      </w:r>
    </w:p>
    <w:p w14:paraId="043E4180" w14:textId="170E2090" w:rsidR="009F7D7F" w:rsidRPr="00B4077C" w:rsidRDefault="00165A5D" w:rsidP="00717309">
      <w:pPr>
        <w:jc w:val="both"/>
        <w:rPr>
          <w:rFonts w:cstheme="minorHAnsi"/>
        </w:rPr>
      </w:pPr>
      <w:r>
        <w:rPr>
          <w:rFonts w:cstheme="minorHAnsi"/>
        </w:rPr>
        <w:t>La tabella sottostante</w:t>
      </w:r>
      <w:r w:rsidR="00717309" w:rsidRPr="00B4077C">
        <w:rPr>
          <w:rFonts w:cstheme="minorHAnsi"/>
        </w:rPr>
        <w:t xml:space="preserve"> mostra le varie componenti del prezzo al consumo della benzina e del gasolio nei primi sette mesi del 2023: la quotazione internazionale pesa per il 32% per la benzina e per il 35% per il gasolio (nel 2021 il peso era del 26,6% e del 28%), il ricavo industriale (margine lordo della compagnia) e il ricavo lordo del gestore (pari a 3,5 centesimi di euro, l’1,9% del prezzo della benzina e il 2% di quello del gasolio), che insieme costituiscono tra il 10 e l’11% del prezzo finale. </w:t>
      </w:r>
      <w:r w:rsidR="00C243CD" w:rsidRPr="00B4077C">
        <w:rPr>
          <w:rFonts w:cstheme="minorHAnsi"/>
        </w:rPr>
        <w:t>Infine,</w:t>
      </w:r>
      <w:r w:rsidR="00717309" w:rsidRPr="00B4077C">
        <w:rPr>
          <w:rFonts w:cstheme="minorHAnsi"/>
        </w:rPr>
        <w:t xml:space="preserve"> c’è il carico fiscale, iva e accisa, che pesano per il 57% e il 53% del prezzo (erano il 48% e il 42% nel 2022).  </w:t>
      </w:r>
    </w:p>
    <w:p w14:paraId="340CF57D" w14:textId="0B3BB913" w:rsidR="00717309" w:rsidRPr="00B4077C" w:rsidRDefault="00717309" w:rsidP="00717309">
      <w:pPr>
        <w:spacing w:after="0" w:line="240" w:lineRule="auto"/>
        <w:rPr>
          <w:rFonts w:cstheme="minorHAnsi"/>
          <w:b/>
          <w:bCs/>
          <w:sz w:val="20"/>
          <w:szCs w:val="20"/>
        </w:rPr>
      </w:pPr>
      <w:r w:rsidRPr="00B4077C">
        <w:rPr>
          <w:rFonts w:cstheme="minorHAnsi"/>
          <w:b/>
          <w:bCs/>
          <w:sz w:val="20"/>
          <w:szCs w:val="20"/>
        </w:rPr>
        <w:t>Composizione prezzo carburanti – (</w:t>
      </w:r>
      <w:proofErr w:type="spellStart"/>
      <w:r w:rsidRPr="00B4077C">
        <w:rPr>
          <w:rFonts w:cstheme="minorHAnsi"/>
          <w:b/>
          <w:bCs/>
          <w:sz w:val="20"/>
          <w:szCs w:val="20"/>
        </w:rPr>
        <w:t>gen-lug</w:t>
      </w:r>
      <w:proofErr w:type="spellEnd"/>
      <w:r w:rsidRPr="00B4077C">
        <w:rPr>
          <w:rFonts w:cstheme="minorHAnsi"/>
          <w:b/>
          <w:bCs/>
          <w:sz w:val="20"/>
          <w:szCs w:val="20"/>
        </w:rPr>
        <w:t xml:space="preserve"> 2023)</w:t>
      </w:r>
    </w:p>
    <w:tbl>
      <w:tblPr>
        <w:tblW w:w="9441" w:type="dxa"/>
        <w:tblCellMar>
          <w:left w:w="70" w:type="dxa"/>
          <w:right w:w="70" w:type="dxa"/>
        </w:tblCellMar>
        <w:tblLook w:val="04A0" w:firstRow="1" w:lastRow="0" w:firstColumn="1" w:lastColumn="0" w:noHBand="0" w:noVBand="1"/>
      </w:tblPr>
      <w:tblGrid>
        <w:gridCol w:w="3661"/>
        <w:gridCol w:w="1565"/>
        <w:gridCol w:w="1638"/>
        <w:gridCol w:w="1325"/>
        <w:gridCol w:w="1252"/>
      </w:tblGrid>
      <w:tr w:rsidR="00717309" w:rsidRPr="00B4077C" w14:paraId="2707A309" w14:textId="77777777" w:rsidTr="00BF2BCA">
        <w:trPr>
          <w:trHeight w:val="261"/>
        </w:trPr>
        <w:tc>
          <w:tcPr>
            <w:tcW w:w="3661" w:type="dxa"/>
            <w:tcBorders>
              <w:top w:val="single" w:sz="4" w:space="0" w:color="auto"/>
              <w:bottom w:val="single" w:sz="4" w:space="0" w:color="auto"/>
            </w:tcBorders>
            <w:shd w:val="clear" w:color="auto" w:fill="auto"/>
            <w:noWrap/>
            <w:vAlign w:val="center"/>
            <w:hideMark/>
          </w:tcPr>
          <w:p w14:paraId="703295F2" w14:textId="77777777" w:rsidR="00717309" w:rsidRPr="00B4077C" w:rsidRDefault="00717309" w:rsidP="00BF2BCA">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 </w:t>
            </w:r>
          </w:p>
        </w:tc>
        <w:tc>
          <w:tcPr>
            <w:tcW w:w="1565" w:type="dxa"/>
            <w:tcBorders>
              <w:top w:val="single" w:sz="4" w:space="0" w:color="auto"/>
              <w:bottom w:val="single" w:sz="4" w:space="0" w:color="auto"/>
            </w:tcBorders>
            <w:shd w:val="clear" w:color="auto" w:fill="auto"/>
            <w:noWrap/>
            <w:vAlign w:val="center"/>
            <w:hideMark/>
          </w:tcPr>
          <w:p w14:paraId="5FAF6770"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benzina</w:t>
            </w:r>
          </w:p>
        </w:tc>
        <w:tc>
          <w:tcPr>
            <w:tcW w:w="1638" w:type="dxa"/>
            <w:tcBorders>
              <w:top w:val="single" w:sz="4" w:space="0" w:color="auto"/>
              <w:bottom w:val="single" w:sz="4" w:space="0" w:color="auto"/>
            </w:tcBorders>
            <w:shd w:val="clear" w:color="auto" w:fill="auto"/>
            <w:noWrap/>
            <w:vAlign w:val="center"/>
            <w:hideMark/>
          </w:tcPr>
          <w:p w14:paraId="67201DB5"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gasolio</w:t>
            </w:r>
          </w:p>
        </w:tc>
        <w:tc>
          <w:tcPr>
            <w:tcW w:w="1325" w:type="dxa"/>
            <w:tcBorders>
              <w:top w:val="single" w:sz="4" w:space="0" w:color="auto"/>
              <w:bottom w:val="single" w:sz="4" w:space="0" w:color="auto"/>
            </w:tcBorders>
            <w:shd w:val="clear" w:color="auto" w:fill="auto"/>
            <w:noWrap/>
            <w:vAlign w:val="bottom"/>
            <w:hideMark/>
          </w:tcPr>
          <w:p w14:paraId="5620A9C8"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 xml:space="preserve">benzina </w:t>
            </w:r>
          </w:p>
        </w:tc>
        <w:tc>
          <w:tcPr>
            <w:tcW w:w="1252" w:type="dxa"/>
            <w:tcBorders>
              <w:top w:val="single" w:sz="4" w:space="0" w:color="auto"/>
              <w:bottom w:val="single" w:sz="4" w:space="0" w:color="auto"/>
            </w:tcBorders>
            <w:shd w:val="clear" w:color="auto" w:fill="auto"/>
            <w:noWrap/>
            <w:vAlign w:val="bottom"/>
            <w:hideMark/>
          </w:tcPr>
          <w:p w14:paraId="3E1E2F41"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gasolio</w:t>
            </w:r>
          </w:p>
        </w:tc>
      </w:tr>
      <w:tr w:rsidR="00717309" w:rsidRPr="00B4077C" w14:paraId="102DA8BB" w14:textId="77777777" w:rsidTr="00BF2BCA">
        <w:trPr>
          <w:trHeight w:val="261"/>
        </w:trPr>
        <w:tc>
          <w:tcPr>
            <w:tcW w:w="3661" w:type="dxa"/>
            <w:tcBorders>
              <w:top w:val="single" w:sz="4" w:space="0" w:color="auto"/>
            </w:tcBorders>
            <w:shd w:val="clear" w:color="auto" w:fill="auto"/>
            <w:noWrap/>
            <w:vAlign w:val="center"/>
            <w:hideMark/>
          </w:tcPr>
          <w:p w14:paraId="6B06629D" w14:textId="77777777" w:rsidR="00717309" w:rsidRPr="00B4077C" w:rsidRDefault="00717309" w:rsidP="00BF2BCA">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Quotazione internazionale</w:t>
            </w:r>
          </w:p>
        </w:tc>
        <w:tc>
          <w:tcPr>
            <w:tcW w:w="1565" w:type="dxa"/>
            <w:tcBorders>
              <w:top w:val="single" w:sz="4" w:space="0" w:color="auto"/>
            </w:tcBorders>
            <w:shd w:val="clear" w:color="auto" w:fill="auto"/>
            <w:noWrap/>
            <w:vAlign w:val="center"/>
            <w:hideMark/>
          </w:tcPr>
          <w:p w14:paraId="6F0212C6"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0,595</w:t>
            </w:r>
          </w:p>
        </w:tc>
        <w:tc>
          <w:tcPr>
            <w:tcW w:w="1638" w:type="dxa"/>
            <w:tcBorders>
              <w:top w:val="single" w:sz="4" w:space="0" w:color="auto"/>
            </w:tcBorders>
            <w:shd w:val="clear" w:color="auto" w:fill="auto"/>
            <w:noWrap/>
            <w:vAlign w:val="center"/>
            <w:hideMark/>
          </w:tcPr>
          <w:p w14:paraId="3D972BF1"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0,617</w:t>
            </w:r>
          </w:p>
        </w:tc>
        <w:tc>
          <w:tcPr>
            <w:tcW w:w="1325" w:type="dxa"/>
            <w:tcBorders>
              <w:top w:val="single" w:sz="4" w:space="0" w:color="auto"/>
            </w:tcBorders>
            <w:shd w:val="clear" w:color="auto" w:fill="auto"/>
            <w:noWrap/>
            <w:vAlign w:val="bottom"/>
            <w:hideMark/>
          </w:tcPr>
          <w:p w14:paraId="6B7D99AF"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32,2%</w:t>
            </w:r>
          </w:p>
        </w:tc>
        <w:tc>
          <w:tcPr>
            <w:tcW w:w="1252" w:type="dxa"/>
            <w:tcBorders>
              <w:top w:val="single" w:sz="4" w:space="0" w:color="auto"/>
            </w:tcBorders>
            <w:shd w:val="clear" w:color="auto" w:fill="auto"/>
            <w:noWrap/>
            <w:vAlign w:val="bottom"/>
            <w:hideMark/>
          </w:tcPr>
          <w:p w14:paraId="4C7DC64F"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35,1%</w:t>
            </w:r>
          </w:p>
        </w:tc>
      </w:tr>
      <w:tr w:rsidR="00717309" w:rsidRPr="00B4077C" w14:paraId="09CFB8BB" w14:textId="77777777" w:rsidTr="00BF2BCA">
        <w:trPr>
          <w:trHeight w:val="261"/>
        </w:trPr>
        <w:tc>
          <w:tcPr>
            <w:tcW w:w="3661" w:type="dxa"/>
            <w:shd w:val="clear" w:color="auto" w:fill="auto"/>
            <w:noWrap/>
            <w:vAlign w:val="center"/>
            <w:hideMark/>
          </w:tcPr>
          <w:p w14:paraId="42AED437" w14:textId="77777777" w:rsidR="00717309" w:rsidRPr="00B4077C" w:rsidRDefault="00717309" w:rsidP="00BF2BCA">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Ricavo industriale</w:t>
            </w:r>
          </w:p>
        </w:tc>
        <w:tc>
          <w:tcPr>
            <w:tcW w:w="1565" w:type="dxa"/>
            <w:shd w:val="clear" w:color="auto" w:fill="auto"/>
            <w:noWrap/>
            <w:vAlign w:val="center"/>
            <w:hideMark/>
          </w:tcPr>
          <w:p w14:paraId="48102A5B"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0,157</w:t>
            </w:r>
          </w:p>
        </w:tc>
        <w:tc>
          <w:tcPr>
            <w:tcW w:w="1638" w:type="dxa"/>
            <w:shd w:val="clear" w:color="auto" w:fill="auto"/>
            <w:noWrap/>
            <w:vAlign w:val="center"/>
            <w:hideMark/>
          </w:tcPr>
          <w:p w14:paraId="2F35BFDF"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0,174</w:t>
            </w:r>
          </w:p>
        </w:tc>
        <w:tc>
          <w:tcPr>
            <w:tcW w:w="1325" w:type="dxa"/>
            <w:shd w:val="clear" w:color="auto" w:fill="auto"/>
            <w:noWrap/>
            <w:vAlign w:val="bottom"/>
            <w:hideMark/>
          </w:tcPr>
          <w:p w14:paraId="3C0EAD8C"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8,5%</w:t>
            </w:r>
          </w:p>
        </w:tc>
        <w:tc>
          <w:tcPr>
            <w:tcW w:w="1252" w:type="dxa"/>
            <w:shd w:val="clear" w:color="auto" w:fill="auto"/>
            <w:noWrap/>
            <w:vAlign w:val="bottom"/>
            <w:hideMark/>
          </w:tcPr>
          <w:p w14:paraId="1A249E0B"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9,9%</w:t>
            </w:r>
          </w:p>
        </w:tc>
      </w:tr>
      <w:tr w:rsidR="00717309" w:rsidRPr="00B4077C" w14:paraId="7555C66E" w14:textId="77777777" w:rsidTr="00BF2BCA">
        <w:trPr>
          <w:trHeight w:val="261"/>
        </w:trPr>
        <w:tc>
          <w:tcPr>
            <w:tcW w:w="3661" w:type="dxa"/>
            <w:shd w:val="clear" w:color="auto" w:fill="auto"/>
            <w:noWrap/>
            <w:vAlign w:val="center"/>
            <w:hideMark/>
          </w:tcPr>
          <w:p w14:paraId="00EEA246" w14:textId="77777777" w:rsidR="00717309" w:rsidRPr="00B4077C" w:rsidRDefault="00717309" w:rsidP="00BF2BCA">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Ricavo lordo gestore</w:t>
            </w:r>
          </w:p>
        </w:tc>
        <w:tc>
          <w:tcPr>
            <w:tcW w:w="1565" w:type="dxa"/>
            <w:shd w:val="clear" w:color="auto" w:fill="auto"/>
            <w:noWrap/>
            <w:vAlign w:val="center"/>
            <w:hideMark/>
          </w:tcPr>
          <w:p w14:paraId="5DD3FDB7"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0,035</w:t>
            </w:r>
          </w:p>
        </w:tc>
        <w:tc>
          <w:tcPr>
            <w:tcW w:w="1638" w:type="dxa"/>
            <w:shd w:val="clear" w:color="auto" w:fill="auto"/>
            <w:noWrap/>
            <w:vAlign w:val="center"/>
            <w:hideMark/>
          </w:tcPr>
          <w:p w14:paraId="28B94EB8"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0,035</w:t>
            </w:r>
          </w:p>
        </w:tc>
        <w:tc>
          <w:tcPr>
            <w:tcW w:w="1325" w:type="dxa"/>
            <w:shd w:val="clear" w:color="auto" w:fill="auto"/>
            <w:noWrap/>
            <w:vAlign w:val="bottom"/>
            <w:hideMark/>
          </w:tcPr>
          <w:p w14:paraId="680DA3BC"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1,9%</w:t>
            </w:r>
          </w:p>
        </w:tc>
        <w:tc>
          <w:tcPr>
            <w:tcW w:w="1252" w:type="dxa"/>
            <w:shd w:val="clear" w:color="auto" w:fill="auto"/>
            <w:noWrap/>
            <w:vAlign w:val="bottom"/>
            <w:hideMark/>
          </w:tcPr>
          <w:p w14:paraId="6E4F5AA8"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2,0%</w:t>
            </w:r>
          </w:p>
        </w:tc>
      </w:tr>
      <w:tr w:rsidR="00717309" w:rsidRPr="00B4077C" w14:paraId="189315EB" w14:textId="77777777" w:rsidTr="00BF2BCA">
        <w:trPr>
          <w:trHeight w:val="261"/>
        </w:trPr>
        <w:tc>
          <w:tcPr>
            <w:tcW w:w="3661" w:type="dxa"/>
            <w:shd w:val="clear" w:color="auto" w:fill="auto"/>
            <w:noWrap/>
            <w:vAlign w:val="center"/>
            <w:hideMark/>
          </w:tcPr>
          <w:p w14:paraId="76AA5D46" w14:textId="77777777" w:rsidR="00717309" w:rsidRPr="00B4077C" w:rsidRDefault="00717309" w:rsidP="00BF2BCA">
            <w:pPr>
              <w:spacing w:after="0" w:line="240" w:lineRule="auto"/>
              <w:rPr>
                <w:rFonts w:eastAsia="Times New Roman" w:cstheme="minorHAnsi"/>
                <w:b/>
                <w:bCs/>
                <w:sz w:val="20"/>
                <w:szCs w:val="20"/>
                <w:lang w:eastAsia="it-IT"/>
              </w:rPr>
            </w:pPr>
            <w:r w:rsidRPr="00B4077C">
              <w:rPr>
                <w:rFonts w:eastAsia="Times New Roman" w:cstheme="minorHAnsi"/>
                <w:b/>
                <w:bCs/>
                <w:sz w:val="20"/>
                <w:szCs w:val="20"/>
                <w:lang w:eastAsia="it-IT"/>
              </w:rPr>
              <w:t>Prezzo industriale</w:t>
            </w:r>
          </w:p>
        </w:tc>
        <w:tc>
          <w:tcPr>
            <w:tcW w:w="1565" w:type="dxa"/>
            <w:shd w:val="clear" w:color="auto" w:fill="auto"/>
            <w:noWrap/>
            <w:vAlign w:val="center"/>
            <w:hideMark/>
          </w:tcPr>
          <w:p w14:paraId="00C93541" w14:textId="77777777" w:rsidR="00717309" w:rsidRPr="00B4077C" w:rsidRDefault="00717309" w:rsidP="00BF2BCA">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0,788</w:t>
            </w:r>
          </w:p>
        </w:tc>
        <w:tc>
          <w:tcPr>
            <w:tcW w:w="1638" w:type="dxa"/>
            <w:shd w:val="clear" w:color="auto" w:fill="auto"/>
            <w:noWrap/>
            <w:vAlign w:val="center"/>
            <w:hideMark/>
          </w:tcPr>
          <w:p w14:paraId="420CA49A" w14:textId="77777777" w:rsidR="00717309" w:rsidRPr="00B4077C" w:rsidRDefault="00717309" w:rsidP="00BF2BCA">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0,826</w:t>
            </w:r>
          </w:p>
        </w:tc>
        <w:tc>
          <w:tcPr>
            <w:tcW w:w="1325" w:type="dxa"/>
            <w:shd w:val="clear" w:color="auto" w:fill="auto"/>
            <w:noWrap/>
            <w:vAlign w:val="bottom"/>
            <w:hideMark/>
          </w:tcPr>
          <w:p w14:paraId="7A13854E"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42,6%</w:t>
            </w:r>
          </w:p>
        </w:tc>
        <w:tc>
          <w:tcPr>
            <w:tcW w:w="1252" w:type="dxa"/>
            <w:shd w:val="clear" w:color="auto" w:fill="auto"/>
            <w:noWrap/>
            <w:vAlign w:val="bottom"/>
            <w:hideMark/>
          </w:tcPr>
          <w:p w14:paraId="59EDF313"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46,9%</w:t>
            </w:r>
          </w:p>
        </w:tc>
      </w:tr>
      <w:tr w:rsidR="00717309" w:rsidRPr="00B4077C" w14:paraId="6B480606" w14:textId="77777777" w:rsidTr="00BF2BCA">
        <w:trPr>
          <w:trHeight w:val="261"/>
        </w:trPr>
        <w:tc>
          <w:tcPr>
            <w:tcW w:w="3661" w:type="dxa"/>
            <w:shd w:val="clear" w:color="auto" w:fill="auto"/>
            <w:noWrap/>
            <w:vAlign w:val="center"/>
            <w:hideMark/>
          </w:tcPr>
          <w:p w14:paraId="5DBC8F11" w14:textId="77777777" w:rsidR="00717309" w:rsidRPr="00B4077C" w:rsidRDefault="00717309" w:rsidP="00BF2BCA">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Accisa</w:t>
            </w:r>
          </w:p>
        </w:tc>
        <w:tc>
          <w:tcPr>
            <w:tcW w:w="1565" w:type="dxa"/>
            <w:shd w:val="clear" w:color="auto" w:fill="auto"/>
            <w:noWrap/>
            <w:vAlign w:val="center"/>
            <w:hideMark/>
          </w:tcPr>
          <w:p w14:paraId="25C96FF2"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0,728</w:t>
            </w:r>
          </w:p>
        </w:tc>
        <w:tc>
          <w:tcPr>
            <w:tcW w:w="1638" w:type="dxa"/>
            <w:shd w:val="clear" w:color="auto" w:fill="auto"/>
            <w:noWrap/>
            <w:vAlign w:val="center"/>
            <w:hideMark/>
          </w:tcPr>
          <w:p w14:paraId="3BD8588D"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0,617</w:t>
            </w:r>
          </w:p>
        </w:tc>
        <w:tc>
          <w:tcPr>
            <w:tcW w:w="1325" w:type="dxa"/>
            <w:shd w:val="clear" w:color="auto" w:fill="auto"/>
            <w:noWrap/>
            <w:vAlign w:val="bottom"/>
            <w:hideMark/>
          </w:tcPr>
          <w:p w14:paraId="75C9F78E"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39,4%</w:t>
            </w:r>
          </w:p>
        </w:tc>
        <w:tc>
          <w:tcPr>
            <w:tcW w:w="1252" w:type="dxa"/>
            <w:shd w:val="clear" w:color="auto" w:fill="auto"/>
            <w:noWrap/>
            <w:vAlign w:val="bottom"/>
            <w:hideMark/>
          </w:tcPr>
          <w:p w14:paraId="602AF6B9"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35,1%</w:t>
            </w:r>
          </w:p>
        </w:tc>
      </w:tr>
      <w:tr w:rsidR="00717309" w:rsidRPr="00B4077C" w14:paraId="10E60C47" w14:textId="77777777" w:rsidTr="00BF2BCA">
        <w:trPr>
          <w:trHeight w:val="261"/>
        </w:trPr>
        <w:tc>
          <w:tcPr>
            <w:tcW w:w="3661" w:type="dxa"/>
            <w:tcBorders>
              <w:bottom w:val="single" w:sz="4" w:space="0" w:color="auto"/>
            </w:tcBorders>
            <w:shd w:val="clear" w:color="auto" w:fill="auto"/>
            <w:noWrap/>
            <w:vAlign w:val="center"/>
            <w:hideMark/>
          </w:tcPr>
          <w:p w14:paraId="451C06D2" w14:textId="77777777" w:rsidR="00717309" w:rsidRPr="00B4077C" w:rsidRDefault="00717309" w:rsidP="00BF2BCA">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Iva</w:t>
            </w:r>
          </w:p>
        </w:tc>
        <w:tc>
          <w:tcPr>
            <w:tcW w:w="1565" w:type="dxa"/>
            <w:tcBorders>
              <w:bottom w:val="single" w:sz="4" w:space="0" w:color="auto"/>
            </w:tcBorders>
            <w:shd w:val="clear" w:color="auto" w:fill="auto"/>
            <w:noWrap/>
            <w:vAlign w:val="center"/>
            <w:hideMark/>
          </w:tcPr>
          <w:p w14:paraId="5F3E7CD4"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0,334</w:t>
            </w:r>
          </w:p>
        </w:tc>
        <w:tc>
          <w:tcPr>
            <w:tcW w:w="1638" w:type="dxa"/>
            <w:tcBorders>
              <w:bottom w:val="single" w:sz="4" w:space="0" w:color="auto"/>
            </w:tcBorders>
            <w:shd w:val="clear" w:color="auto" w:fill="auto"/>
            <w:noWrap/>
            <w:vAlign w:val="center"/>
            <w:hideMark/>
          </w:tcPr>
          <w:p w14:paraId="7B47C959" w14:textId="77777777" w:rsidR="00717309" w:rsidRPr="00B4077C" w:rsidRDefault="00717309" w:rsidP="00BF2BCA">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0,317</w:t>
            </w:r>
          </w:p>
        </w:tc>
        <w:tc>
          <w:tcPr>
            <w:tcW w:w="1325" w:type="dxa"/>
            <w:tcBorders>
              <w:bottom w:val="single" w:sz="4" w:space="0" w:color="auto"/>
            </w:tcBorders>
            <w:shd w:val="clear" w:color="auto" w:fill="auto"/>
            <w:noWrap/>
            <w:vAlign w:val="bottom"/>
            <w:hideMark/>
          </w:tcPr>
          <w:p w14:paraId="0C045099"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18,1%</w:t>
            </w:r>
          </w:p>
        </w:tc>
        <w:tc>
          <w:tcPr>
            <w:tcW w:w="1252" w:type="dxa"/>
            <w:tcBorders>
              <w:bottom w:val="single" w:sz="4" w:space="0" w:color="auto"/>
            </w:tcBorders>
            <w:shd w:val="clear" w:color="auto" w:fill="auto"/>
            <w:noWrap/>
            <w:vAlign w:val="bottom"/>
            <w:hideMark/>
          </w:tcPr>
          <w:p w14:paraId="1C94BB66"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18,0%</w:t>
            </w:r>
          </w:p>
        </w:tc>
      </w:tr>
      <w:tr w:rsidR="00717309" w:rsidRPr="00B4077C" w14:paraId="6802D5C9" w14:textId="77777777" w:rsidTr="00BF2BCA">
        <w:trPr>
          <w:trHeight w:val="261"/>
        </w:trPr>
        <w:tc>
          <w:tcPr>
            <w:tcW w:w="3661" w:type="dxa"/>
            <w:tcBorders>
              <w:top w:val="single" w:sz="4" w:space="0" w:color="auto"/>
              <w:bottom w:val="single" w:sz="4" w:space="0" w:color="auto"/>
            </w:tcBorders>
            <w:shd w:val="clear" w:color="auto" w:fill="auto"/>
            <w:noWrap/>
            <w:vAlign w:val="center"/>
            <w:hideMark/>
          </w:tcPr>
          <w:p w14:paraId="6471B990" w14:textId="77777777" w:rsidR="00717309" w:rsidRPr="00B4077C" w:rsidRDefault="00717309" w:rsidP="00BF2BCA">
            <w:pPr>
              <w:spacing w:after="0" w:line="240" w:lineRule="auto"/>
              <w:rPr>
                <w:rFonts w:eastAsia="Times New Roman" w:cstheme="minorHAnsi"/>
                <w:b/>
                <w:bCs/>
                <w:sz w:val="20"/>
                <w:szCs w:val="20"/>
                <w:lang w:eastAsia="it-IT"/>
              </w:rPr>
            </w:pPr>
            <w:r w:rsidRPr="00B4077C">
              <w:rPr>
                <w:rFonts w:eastAsia="Times New Roman" w:cstheme="minorHAnsi"/>
                <w:b/>
                <w:bCs/>
                <w:sz w:val="20"/>
                <w:szCs w:val="20"/>
                <w:lang w:eastAsia="it-IT"/>
              </w:rPr>
              <w:t>Prezzo al consumo</w:t>
            </w:r>
          </w:p>
        </w:tc>
        <w:tc>
          <w:tcPr>
            <w:tcW w:w="1565" w:type="dxa"/>
            <w:tcBorders>
              <w:top w:val="single" w:sz="4" w:space="0" w:color="auto"/>
              <w:bottom w:val="single" w:sz="4" w:space="0" w:color="auto"/>
            </w:tcBorders>
            <w:shd w:val="clear" w:color="auto" w:fill="auto"/>
            <w:noWrap/>
            <w:vAlign w:val="center"/>
            <w:hideMark/>
          </w:tcPr>
          <w:p w14:paraId="79E8A4DF" w14:textId="77777777" w:rsidR="00717309" w:rsidRPr="00B4077C" w:rsidRDefault="00717309" w:rsidP="00BF2BCA">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1,850</w:t>
            </w:r>
          </w:p>
        </w:tc>
        <w:tc>
          <w:tcPr>
            <w:tcW w:w="1638" w:type="dxa"/>
            <w:tcBorders>
              <w:top w:val="single" w:sz="4" w:space="0" w:color="auto"/>
              <w:bottom w:val="single" w:sz="4" w:space="0" w:color="auto"/>
            </w:tcBorders>
            <w:shd w:val="clear" w:color="auto" w:fill="auto"/>
            <w:noWrap/>
            <w:vAlign w:val="center"/>
            <w:hideMark/>
          </w:tcPr>
          <w:p w14:paraId="6D09FDDD" w14:textId="77777777" w:rsidR="00717309" w:rsidRPr="00B4077C" w:rsidRDefault="00717309" w:rsidP="00BF2BCA">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1,760</w:t>
            </w:r>
          </w:p>
        </w:tc>
        <w:tc>
          <w:tcPr>
            <w:tcW w:w="1325" w:type="dxa"/>
            <w:tcBorders>
              <w:top w:val="single" w:sz="4" w:space="0" w:color="auto"/>
              <w:bottom w:val="single" w:sz="4" w:space="0" w:color="auto"/>
            </w:tcBorders>
            <w:shd w:val="clear" w:color="auto" w:fill="auto"/>
            <w:noWrap/>
            <w:vAlign w:val="bottom"/>
            <w:hideMark/>
          </w:tcPr>
          <w:p w14:paraId="335CF50E"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100,0%</w:t>
            </w:r>
          </w:p>
        </w:tc>
        <w:tc>
          <w:tcPr>
            <w:tcW w:w="1252" w:type="dxa"/>
            <w:tcBorders>
              <w:top w:val="single" w:sz="4" w:space="0" w:color="auto"/>
              <w:bottom w:val="single" w:sz="4" w:space="0" w:color="auto"/>
            </w:tcBorders>
            <w:shd w:val="clear" w:color="auto" w:fill="auto"/>
            <w:noWrap/>
            <w:vAlign w:val="bottom"/>
            <w:hideMark/>
          </w:tcPr>
          <w:p w14:paraId="1031F7F9" w14:textId="77777777" w:rsidR="00717309" w:rsidRPr="00B4077C" w:rsidRDefault="00717309" w:rsidP="00BF2BCA">
            <w:pPr>
              <w:spacing w:after="0" w:line="240" w:lineRule="auto"/>
              <w:jc w:val="right"/>
              <w:rPr>
                <w:rFonts w:eastAsia="Times New Roman" w:cstheme="minorHAnsi"/>
                <w:sz w:val="20"/>
                <w:szCs w:val="20"/>
                <w:lang w:eastAsia="it-IT"/>
              </w:rPr>
            </w:pPr>
            <w:r w:rsidRPr="00B4077C">
              <w:rPr>
                <w:rFonts w:eastAsia="Times New Roman" w:cstheme="minorHAnsi"/>
                <w:sz w:val="20"/>
                <w:szCs w:val="20"/>
                <w:lang w:eastAsia="it-IT"/>
              </w:rPr>
              <w:t>100,0%</w:t>
            </w:r>
          </w:p>
        </w:tc>
      </w:tr>
    </w:tbl>
    <w:p w14:paraId="4FD0610D" w14:textId="38B19501" w:rsidR="00717309" w:rsidRPr="00B4077C" w:rsidRDefault="00717309" w:rsidP="00717309">
      <w:pPr>
        <w:spacing w:after="0" w:line="240" w:lineRule="auto"/>
        <w:rPr>
          <w:rFonts w:cstheme="minorHAnsi"/>
          <w:noProof/>
          <w:sz w:val="20"/>
          <w:szCs w:val="20"/>
        </w:rPr>
      </w:pPr>
      <w:r w:rsidRPr="00B4077C">
        <w:rPr>
          <w:rFonts w:cstheme="minorHAnsi"/>
          <w:noProof/>
          <w:sz w:val="20"/>
          <w:szCs w:val="20"/>
        </w:rPr>
        <w:t>Fonte: Elaborazioni Confesercenti su dati MI</w:t>
      </w:r>
      <w:r w:rsidR="00C243CD" w:rsidRPr="00B4077C">
        <w:rPr>
          <w:rFonts w:cstheme="minorHAnsi"/>
          <w:noProof/>
          <w:sz w:val="20"/>
          <w:szCs w:val="20"/>
        </w:rPr>
        <w:t>MIT</w:t>
      </w:r>
    </w:p>
    <w:p w14:paraId="6CE8A4F3" w14:textId="77777777" w:rsidR="00717309" w:rsidRPr="00B4077C" w:rsidRDefault="00717309" w:rsidP="00717309">
      <w:pPr>
        <w:jc w:val="both"/>
        <w:rPr>
          <w:rFonts w:cstheme="minorHAnsi"/>
        </w:rPr>
      </w:pPr>
    </w:p>
    <w:p w14:paraId="25C8FFFF" w14:textId="4B8A0C3E" w:rsidR="008D077D" w:rsidRPr="00B4077C" w:rsidRDefault="009F7D7F" w:rsidP="009F7D7F">
      <w:pPr>
        <w:rPr>
          <w:rFonts w:cstheme="minorHAnsi"/>
          <w:b/>
          <w:bCs/>
        </w:rPr>
      </w:pPr>
      <w:r w:rsidRPr="00B4077C">
        <w:rPr>
          <w:rFonts w:cstheme="minorHAnsi"/>
          <w:b/>
          <w:bCs/>
        </w:rPr>
        <w:t>Bonus benzina e</w:t>
      </w:r>
      <w:r w:rsidR="008D077D" w:rsidRPr="00B4077C">
        <w:rPr>
          <w:rFonts w:cstheme="minorHAnsi"/>
          <w:b/>
          <w:bCs/>
        </w:rPr>
        <w:t xml:space="preserve"> social card</w:t>
      </w:r>
    </w:p>
    <w:p w14:paraId="29D397AA" w14:textId="1403FB20" w:rsidR="009F7D7F" w:rsidRPr="00B4077C" w:rsidRDefault="009F7D7F" w:rsidP="00717309">
      <w:pPr>
        <w:jc w:val="both"/>
        <w:rPr>
          <w:rFonts w:cstheme="minorHAnsi"/>
        </w:rPr>
      </w:pPr>
      <w:r w:rsidRPr="00B4077C">
        <w:rPr>
          <w:rFonts w:cstheme="minorHAnsi"/>
        </w:rPr>
        <w:t>In questo quadro di aumenti, il bonus benzina erogato dal governo ai circa 1,3 milioni di italiani in possesso d</w:t>
      </w:r>
      <w:r w:rsidR="00C243CD" w:rsidRPr="00B4077C">
        <w:rPr>
          <w:rFonts w:cstheme="minorHAnsi"/>
        </w:rPr>
        <w:t>i</w:t>
      </w:r>
      <w:r w:rsidRPr="00B4077C">
        <w:rPr>
          <w:rFonts w:cstheme="minorHAnsi"/>
        </w:rPr>
        <w:t xml:space="preserve"> social card rischia di non essere sufficiente nemmeno per un pieno, considerando che i serbatoi delle utilitarie più piccole hanno una capienza di quaranta/quarantacinque litri. L’intervento è comunque positivo – come qualsiasi strumento che vada nella direzione di aiutare le famiglie più bisognose – ma è poco più di </w:t>
      </w:r>
      <w:r w:rsidRPr="00B4077C">
        <w:rPr>
          <w:rFonts w:cstheme="minorHAnsi"/>
        </w:rPr>
        <w:lastRenderedPageBreak/>
        <w:t xml:space="preserve">una misura tampone. </w:t>
      </w:r>
      <w:r w:rsidR="00717309" w:rsidRPr="00B4077C">
        <w:rPr>
          <w:rFonts w:cstheme="minorHAnsi"/>
        </w:rPr>
        <w:t>Per</w:t>
      </w:r>
      <w:r w:rsidRPr="00B4077C">
        <w:rPr>
          <w:rFonts w:cstheme="minorHAnsi"/>
        </w:rPr>
        <w:t xml:space="preserve"> fronteggiare gli effetti dei picchi dei prezzi dei carburanti sul sistema economico sarebbe utile una misura strutturale come l’accisa mobile</w:t>
      </w:r>
      <w:r w:rsidR="00717309" w:rsidRPr="00B4077C">
        <w:rPr>
          <w:rFonts w:cstheme="minorHAnsi"/>
        </w:rPr>
        <w:t>,</w:t>
      </w:r>
      <w:r w:rsidRPr="00B4077C">
        <w:rPr>
          <w:rFonts w:cstheme="minorHAnsi"/>
        </w:rPr>
        <w:t xml:space="preserve"> ossia il meccanismo che consente di impiegare il maggior gettito </w:t>
      </w:r>
      <w:r w:rsidR="00717309" w:rsidRPr="00B4077C">
        <w:rPr>
          <w:rFonts w:cstheme="minorHAnsi"/>
        </w:rPr>
        <w:t>IVA</w:t>
      </w:r>
      <w:r w:rsidRPr="00B4077C">
        <w:rPr>
          <w:rFonts w:cstheme="minorHAnsi"/>
        </w:rPr>
        <w:t xml:space="preserve"> legato agli aumenti dei </w:t>
      </w:r>
      <w:r w:rsidR="00717309" w:rsidRPr="00B4077C">
        <w:rPr>
          <w:rFonts w:cstheme="minorHAnsi"/>
        </w:rPr>
        <w:t xml:space="preserve">prezzi dei </w:t>
      </w:r>
      <w:r w:rsidRPr="00B4077C">
        <w:rPr>
          <w:rFonts w:cstheme="minorHAnsi"/>
        </w:rPr>
        <w:t xml:space="preserve">carburanti, per ridurre le accise. Si tratterebbe di un importante incentivo, che andrebbe a vantaggio di imprese e consumatori, perché permetterebbe di trattenere l’inflazione generata dal caro-carburanti e di spalmare i benefici della riduzione dei prezzi alla pompa su più fronti. </w:t>
      </w:r>
    </w:p>
    <w:p w14:paraId="16022482" w14:textId="0FD17AFC" w:rsidR="00C243CD" w:rsidRPr="00B4077C" w:rsidRDefault="00C243CD" w:rsidP="00C243CD">
      <w:pPr>
        <w:rPr>
          <w:rFonts w:cstheme="minorHAnsi"/>
          <w:b/>
          <w:bCs/>
        </w:rPr>
      </w:pPr>
      <w:r w:rsidRPr="00B4077C">
        <w:rPr>
          <w:rFonts w:cstheme="minorHAnsi"/>
          <w:b/>
          <w:bCs/>
        </w:rPr>
        <w:t>Lo stato della rete</w:t>
      </w:r>
    </w:p>
    <w:p w14:paraId="7449F9A4" w14:textId="62FDD552" w:rsidR="00C243CD" w:rsidRPr="00B4077C" w:rsidRDefault="00C243CD" w:rsidP="00C243CD">
      <w:pPr>
        <w:spacing w:after="120" w:line="276" w:lineRule="auto"/>
        <w:jc w:val="both"/>
        <w:rPr>
          <w:rFonts w:cstheme="minorHAnsi"/>
          <w:color w:val="FF0000"/>
        </w:rPr>
      </w:pPr>
      <w:r w:rsidRPr="00B4077C">
        <w:rPr>
          <w:rFonts w:cstheme="minorHAnsi"/>
          <w:color w:val="000000" w:themeColor="text1"/>
        </w:rPr>
        <w:t xml:space="preserve">Nel 2023 in Italia si contano 22 mila e 600 punti vendita. </w:t>
      </w:r>
      <w:r w:rsidRPr="00B4077C">
        <w:rPr>
          <w:rFonts w:cstheme="minorHAnsi"/>
        </w:rPr>
        <w:t>Continua dunque ad essere il paese con il maggior numero di punti vendita; le reti più importanti sono quelle della Germania con 14,5 mila punti vendita, della Spagna e della Francia. Ne consegue che, pur avendo un parco auto che conta oltre 40 milioni di autovetture circolanti, secondo solo alla Germania, il numero di autovetture per punto vendita, pari a poco meno di 1.800, è più basso non solo rispetto a quello della Germania che supera le 3 mila vetture ma anche del Regno Unito, della Polonia, delle Francia, della Spagna e della maggior parte dei paesi europei.</w:t>
      </w:r>
    </w:p>
    <w:p w14:paraId="54FB015D" w14:textId="77777777" w:rsidR="00C243CD" w:rsidRPr="00B4077C" w:rsidRDefault="00C243CD" w:rsidP="00C243CD">
      <w:pPr>
        <w:spacing w:after="120" w:line="276" w:lineRule="auto"/>
        <w:jc w:val="both"/>
        <w:rPr>
          <w:rFonts w:cstheme="minorHAnsi"/>
        </w:rPr>
      </w:pPr>
      <w:bookmarkStart w:id="0" w:name="_Hlk146120627"/>
      <w:r w:rsidRPr="00B4077C">
        <w:rPr>
          <w:rFonts w:cstheme="minorHAnsi"/>
        </w:rPr>
        <w:t>Anche l’erogato medio nel nostro paese pari a 1.237 mc/anno è inferiore alla media europea del 47% (differenza pari a 1.176 mc/anno). Il distacco è particolarmente pronunciato rispetto a quasi tutte le economie europee, dalle principali come il Regno Unito che registra un erogato più di tre volte superiore, la Spagna, la Francia e la Germania alle altre come l’Austria, la Polonia, la Norvegia. Dopo l’Italia solo Grecia.</w:t>
      </w:r>
    </w:p>
    <w:bookmarkEnd w:id="0"/>
    <w:p w14:paraId="2A8EF6FA" w14:textId="1513064D" w:rsidR="00C243CD" w:rsidRPr="00B4077C" w:rsidRDefault="00C243CD" w:rsidP="00C243CD">
      <w:pPr>
        <w:spacing w:after="120" w:line="276" w:lineRule="auto"/>
        <w:jc w:val="both"/>
        <w:rPr>
          <w:rFonts w:cstheme="minorHAnsi"/>
        </w:rPr>
      </w:pPr>
      <w:r w:rsidRPr="00B4077C">
        <w:rPr>
          <w:rFonts w:cstheme="minorHAnsi"/>
        </w:rPr>
        <w:t xml:space="preserve">Nei processi di cambiamento della rete di distribuzione sopra la media è l’effettiva diffusione del metano, tipologia di carburante in cui il nostro paese si presenta leader nel panorama europeo per punti vendita (oltre 1300) e autovetture circolanti; al secondo posto la </w:t>
      </w:r>
      <w:r w:rsidRPr="00B4077C">
        <w:rPr>
          <w:rFonts w:cstheme="minorHAnsi"/>
          <w:bCs/>
        </w:rPr>
        <w:t>Germania</w:t>
      </w:r>
      <w:r w:rsidRPr="00B4077C">
        <w:rPr>
          <w:rFonts w:cstheme="minorHAnsi"/>
          <w:b/>
          <w:bCs/>
        </w:rPr>
        <w:t xml:space="preserve"> </w:t>
      </w:r>
      <w:r w:rsidRPr="00B4077C">
        <w:rPr>
          <w:rFonts w:cstheme="minorHAnsi"/>
        </w:rPr>
        <w:t xml:space="preserve">con circa 835 punti vendita ma con un circolante di 100.000 autoveicoli contro il milione dell'Italia. </w:t>
      </w:r>
    </w:p>
    <w:p w14:paraId="1E15A3EB" w14:textId="77777777" w:rsidR="00C243CD" w:rsidRPr="00B4077C" w:rsidRDefault="00C243CD" w:rsidP="00C243CD">
      <w:pPr>
        <w:spacing w:after="0" w:line="240" w:lineRule="auto"/>
        <w:jc w:val="both"/>
        <w:rPr>
          <w:rFonts w:cstheme="minorHAnsi"/>
        </w:rPr>
      </w:pPr>
    </w:p>
    <w:p w14:paraId="096769ED" w14:textId="27CA4057" w:rsidR="00C243CD" w:rsidRPr="00B4077C" w:rsidRDefault="00C243CD" w:rsidP="00056DFC">
      <w:pPr>
        <w:spacing w:after="0" w:line="240" w:lineRule="auto"/>
        <w:jc w:val="both"/>
        <w:rPr>
          <w:rFonts w:cstheme="minorHAnsi"/>
          <w:b/>
          <w:sz w:val="20"/>
          <w:szCs w:val="20"/>
        </w:rPr>
      </w:pPr>
      <w:bookmarkStart w:id="1" w:name="_Hlk146120600"/>
      <w:r w:rsidRPr="00B4077C">
        <w:rPr>
          <w:rFonts w:cstheme="minorHAnsi"/>
          <w:b/>
          <w:sz w:val="20"/>
          <w:szCs w:val="20"/>
        </w:rPr>
        <w:t>Punti vendita ed erogato in Italia e all’estero</w:t>
      </w:r>
    </w:p>
    <w:tbl>
      <w:tblPr>
        <w:tblW w:w="9540" w:type="dxa"/>
        <w:tblCellMar>
          <w:left w:w="70" w:type="dxa"/>
          <w:right w:w="70" w:type="dxa"/>
        </w:tblCellMar>
        <w:tblLook w:val="04A0" w:firstRow="1" w:lastRow="0" w:firstColumn="1" w:lastColumn="0" w:noHBand="0" w:noVBand="1"/>
      </w:tblPr>
      <w:tblGrid>
        <w:gridCol w:w="1540"/>
        <w:gridCol w:w="1260"/>
        <w:gridCol w:w="1360"/>
        <w:gridCol w:w="1240"/>
        <w:gridCol w:w="1420"/>
        <w:gridCol w:w="1240"/>
        <w:gridCol w:w="1480"/>
      </w:tblGrid>
      <w:tr w:rsidR="00C243CD" w:rsidRPr="00B4077C" w14:paraId="5DA471D9" w14:textId="77777777" w:rsidTr="00BF2BCA">
        <w:trPr>
          <w:trHeight w:val="885"/>
        </w:trPr>
        <w:tc>
          <w:tcPr>
            <w:tcW w:w="1540" w:type="dxa"/>
            <w:tcBorders>
              <w:top w:val="single" w:sz="4" w:space="0" w:color="auto"/>
              <w:left w:val="nil"/>
              <w:bottom w:val="single" w:sz="4" w:space="0" w:color="auto"/>
              <w:right w:val="nil"/>
            </w:tcBorders>
            <w:shd w:val="clear" w:color="auto" w:fill="auto"/>
            <w:noWrap/>
            <w:vAlign w:val="center"/>
            <w:hideMark/>
          </w:tcPr>
          <w:p w14:paraId="5F57620B"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 </w:t>
            </w:r>
          </w:p>
        </w:tc>
        <w:tc>
          <w:tcPr>
            <w:tcW w:w="1260" w:type="dxa"/>
            <w:tcBorders>
              <w:top w:val="single" w:sz="4" w:space="0" w:color="auto"/>
              <w:left w:val="nil"/>
              <w:bottom w:val="single" w:sz="4" w:space="0" w:color="auto"/>
              <w:right w:val="nil"/>
            </w:tcBorders>
            <w:shd w:val="clear" w:color="auto" w:fill="auto"/>
            <w:vAlign w:val="center"/>
            <w:hideMark/>
          </w:tcPr>
          <w:p w14:paraId="36591BA2"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popolazione</w:t>
            </w:r>
          </w:p>
        </w:tc>
        <w:tc>
          <w:tcPr>
            <w:tcW w:w="1360" w:type="dxa"/>
            <w:tcBorders>
              <w:top w:val="single" w:sz="4" w:space="0" w:color="auto"/>
              <w:left w:val="nil"/>
              <w:bottom w:val="single" w:sz="4" w:space="0" w:color="auto"/>
              <w:right w:val="nil"/>
            </w:tcBorders>
            <w:shd w:val="clear" w:color="auto" w:fill="auto"/>
            <w:noWrap/>
            <w:vAlign w:val="center"/>
            <w:hideMark/>
          </w:tcPr>
          <w:p w14:paraId="1385F550"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punti vendita</w:t>
            </w:r>
          </w:p>
        </w:tc>
        <w:tc>
          <w:tcPr>
            <w:tcW w:w="1240" w:type="dxa"/>
            <w:tcBorders>
              <w:top w:val="single" w:sz="4" w:space="0" w:color="auto"/>
              <w:left w:val="nil"/>
              <w:bottom w:val="single" w:sz="4" w:space="0" w:color="auto"/>
              <w:right w:val="nil"/>
            </w:tcBorders>
            <w:shd w:val="clear" w:color="auto" w:fill="auto"/>
            <w:vAlign w:val="center"/>
            <w:hideMark/>
          </w:tcPr>
          <w:p w14:paraId="1520C147"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erogato medio in mc</w:t>
            </w:r>
          </w:p>
        </w:tc>
        <w:tc>
          <w:tcPr>
            <w:tcW w:w="1420" w:type="dxa"/>
            <w:tcBorders>
              <w:top w:val="single" w:sz="4" w:space="0" w:color="auto"/>
              <w:left w:val="nil"/>
              <w:bottom w:val="single" w:sz="4" w:space="0" w:color="auto"/>
              <w:right w:val="nil"/>
            </w:tcBorders>
            <w:shd w:val="clear" w:color="auto" w:fill="auto"/>
            <w:vAlign w:val="center"/>
            <w:hideMark/>
          </w:tcPr>
          <w:p w14:paraId="24A371A6"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vetture per punto vendita</w:t>
            </w:r>
          </w:p>
        </w:tc>
        <w:tc>
          <w:tcPr>
            <w:tcW w:w="1240" w:type="dxa"/>
            <w:tcBorders>
              <w:top w:val="single" w:sz="4" w:space="0" w:color="auto"/>
              <w:left w:val="nil"/>
              <w:bottom w:val="single" w:sz="4" w:space="0" w:color="auto"/>
              <w:right w:val="nil"/>
            </w:tcBorders>
            <w:shd w:val="clear" w:color="auto" w:fill="auto"/>
            <w:vAlign w:val="center"/>
            <w:hideMark/>
          </w:tcPr>
          <w:p w14:paraId="2D4BB144"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 punti solo automatici</w:t>
            </w:r>
          </w:p>
        </w:tc>
        <w:tc>
          <w:tcPr>
            <w:tcW w:w="1480" w:type="dxa"/>
            <w:tcBorders>
              <w:top w:val="single" w:sz="4" w:space="0" w:color="auto"/>
              <w:left w:val="nil"/>
              <w:bottom w:val="single" w:sz="4" w:space="0" w:color="auto"/>
              <w:right w:val="nil"/>
            </w:tcBorders>
            <w:shd w:val="clear" w:color="auto" w:fill="auto"/>
            <w:vAlign w:val="center"/>
            <w:hideMark/>
          </w:tcPr>
          <w:p w14:paraId="4BDC4DE0"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 punti con attività non oil</w:t>
            </w:r>
          </w:p>
        </w:tc>
      </w:tr>
      <w:tr w:rsidR="00C243CD" w:rsidRPr="00B4077C" w14:paraId="666840F4" w14:textId="77777777" w:rsidTr="00BF2BCA">
        <w:trPr>
          <w:trHeight w:val="300"/>
        </w:trPr>
        <w:tc>
          <w:tcPr>
            <w:tcW w:w="1540" w:type="dxa"/>
            <w:tcBorders>
              <w:top w:val="nil"/>
              <w:left w:val="nil"/>
              <w:bottom w:val="nil"/>
              <w:right w:val="nil"/>
            </w:tcBorders>
            <w:shd w:val="clear" w:color="auto" w:fill="auto"/>
            <w:noWrap/>
            <w:vAlign w:val="center"/>
            <w:hideMark/>
          </w:tcPr>
          <w:p w14:paraId="08B08C1E"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Austria</w:t>
            </w:r>
          </w:p>
        </w:tc>
        <w:tc>
          <w:tcPr>
            <w:tcW w:w="1260" w:type="dxa"/>
            <w:tcBorders>
              <w:top w:val="nil"/>
              <w:left w:val="nil"/>
              <w:bottom w:val="nil"/>
              <w:right w:val="nil"/>
            </w:tcBorders>
            <w:shd w:val="clear" w:color="auto" w:fill="auto"/>
            <w:noWrap/>
            <w:vAlign w:val="center"/>
            <w:hideMark/>
          </w:tcPr>
          <w:p w14:paraId="77FC1F28"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8.901</w:t>
            </w:r>
          </w:p>
        </w:tc>
        <w:tc>
          <w:tcPr>
            <w:tcW w:w="1360" w:type="dxa"/>
            <w:tcBorders>
              <w:top w:val="nil"/>
              <w:left w:val="nil"/>
              <w:bottom w:val="nil"/>
              <w:right w:val="nil"/>
            </w:tcBorders>
            <w:shd w:val="clear" w:color="auto" w:fill="auto"/>
            <w:noWrap/>
            <w:vAlign w:val="center"/>
            <w:hideMark/>
          </w:tcPr>
          <w:p w14:paraId="1E442D9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2.748</w:t>
            </w:r>
          </w:p>
        </w:tc>
        <w:tc>
          <w:tcPr>
            <w:tcW w:w="1240" w:type="dxa"/>
            <w:tcBorders>
              <w:top w:val="nil"/>
              <w:left w:val="nil"/>
              <w:bottom w:val="nil"/>
              <w:right w:val="nil"/>
            </w:tcBorders>
            <w:shd w:val="clear" w:color="auto" w:fill="auto"/>
            <w:noWrap/>
            <w:vAlign w:val="center"/>
            <w:hideMark/>
          </w:tcPr>
          <w:p w14:paraId="38955DE8"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2.548</w:t>
            </w:r>
          </w:p>
        </w:tc>
        <w:tc>
          <w:tcPr>
            <w:tcW w:w="1420" w:type="dxa"/>
            <w:tcBorders>
              <w:top w:val="nil"/>
              <w:left w:val="nil"/>
              <w:bottom w:val="nil"/>
              <w:right w:val="nil"/>
            </w:tcBorders>
            <w:shd w:val="clear" w:color="auto" w:fill="auto"/>
            <w:noWrap/>
            <w:vAlign w:val="center"/>
            <w:hideMark/>
          </w:tcPr>
          <w:p w14:paraId="554070A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1.822</w:t>
            </w:r>
          </w:p>
        </w:tc>
        <w:tc>
          <w:tcPr>
            <w:tcW w:w="1240" w:type="dxa"/>
            <w:tcBorders>
              <w:top w:val="nil"/>
              <w:left w:val="nil"/>
              <w:bottom w:val="nil"/>
              <w:right w:val="nil"/>
            </w:tcBorders>
            <w:shd w:val="clear" w:color="auto" w:fill="auto"/>
            <w:noWrap/>
            <w:vAlign w:val="center"/>
            <w:hideMark/>
          </w:tcPr>
          <w:p w14:paraId="242DF18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37</w:t>
            </w:r>
          </w:p>
        </w:tc>
        <w:tc>
          <w:tcPr>
            <w:tcW w:w="1480" w:type="dxa"/>
            <w:tcBorders>
              <w:top w:val="nil"/>
              <w:left w:val="nil"/>
              <w:bottom w:val="nil"/>
              <w:right w:val="nil"/>
            </w:tcBorders>
            <w:shd w:val="clear" w:color="auto" w:fill="auto"/>
            <w:noWrap/>
            <w:vAlign w:val="center"/>
            <w:hideMark/>
          </w:tcPr>
          <w:p w14:paraId="1196EF5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93</w:t>
            </w:r>
          </w:p>
        </w:tc>
      </w:tr>
      <w:tr w:rsidR="00C243CD" w:rsidRPr="00B4077C" w14:paraId="0F0502E9" w14:textId="77777777" w:rsidTr="00BF2BCA">
        <w:trPr>
          <w:trHeight w:val="300"/>
        </w:trPr>
        <w:tc>
          <w:tcPr>
            <w:tcW w:w="1540" w:type="dxa"/>
            <w:tcBorders>
              <w:top w:val="nil"/>
              <w:left w:val="nil"/>
              <w:bottom w:val="nil"/>
              <w:right w:val="nil"/>
            </w:tcBorders>
            <w:shd w:val="clear" w:color="auto" w:fill="auto"/>
            <w:noWrap/>
            <w:vAlign w:val="center"/>
            <w:hideMark/>
          </w:tcPr>
          <w:p w14:paraId="4890CFDE"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Belgio</w:t>
            </w:r>
          </w:p>
        </w:tc>
        <w:tc>
          <w:tcPr>
            <w:tcW w:w="1260" w:type="dxa"/>
            <w:tcBorders>
              <w:top w:val="nil"/>
              <w:left w:val="nil"/>
              <w:bottom w:val="nil"/>
              <w:right w:val="nil"/>
            </w:tcBorders>
            <w:shd w:val="clear" w:color="auto" w:fill="auto"/>
            <w:noWrap/>
            <w:vAlign w:val="center"/>
            <w:hideMark/>
          </w:tcPr>
          <w:p w14:paraId="768361D2"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11.550</w:t>
            </w:r>
          </w:p>
        </w:tc>
        <w:tc>
          <w:tcPr>
            <w:tcW w:w="1360" w:type="dxa"/>
            <w:tcBorders>
              <w:top w:val="nil"/>
              <w:left w:val="nil"/>
              <w:bottom w:val="nil"/>
              <w:right w:val="nil"/>
            </w:tcBorders>
            <w:shd w:val="clear" w:color="auto" w:fill="auto"/>
            <w:noWrap/>
            <w:vAlign w:val="center"/>
            <w:hideMark/>
          </w:tcPr>
          <w:p w14:paraId="294C9DE4"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3.121</w:t>
            </w:r>
          </w:p>
        </w:tc>
        <w:tc>
          <w:tcPr>
            <w:tcW w:w="1240" w:type="dxa"/>
            <w:tcBorders>
              <w:top w:val="nil"/>
              <w:left w:val="nil"/>
              <w:bottom w:val="nil"/>
              <w:right w:val="nil"/>
            </w:tcBorders>
            <w:shd w:val="clear" w:color="auto" w:fill="auto"/>
            <w:noWrap/>
            <w:vAlign w:val="center"/>
            <w:hideMark/>
          </w:tcPr>
          <w:p w14:paraId="7B51FD2E"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2410</w:t>
            </w:r>
          </w:p>
        </w:tc>
        <w:tc>
          <w:tcPr>
            <w:tcW w:w="1420" w:type="dxa"/>
            <w:tcBorders>
              <w:top w:val="nil"/>
              <w:left w:val="nil"/>
              <w:bottom w:val="nil"/>
              <w:right w:val="nil"/>
            </w:tcBorders>
            <w:shd w:val="clear" w:color="auto" w:fill="auto"/>
            <w:noWrap/>
            <w:vAlign w:val="center"/>
            <w:hideMark/>
          </w:tcPr>
          <w:p w14:paraId="136AC73F"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1.871</w:t>
            </w:r>
          </w:p>
        </w:tc>
        <w:tc>
          <w:tcPr>
            <w:tcW w:w="1240" w:type="dxa"/>
            <w:tcBorders>
              <w:top w:val="nil"/>
              <w:left w:val="nil"/>
              <w:bottom w:val="nil"/>
              <w:right w:val="nil"/>
            </w:tcBorders>
            <w:shd w:val="clear" w:color="auto" w:fill="auto"/>
            <w:noWrap/>
            <w:vAlign w:val="center"/>
            <w:hideMark/>
          </w:tcPr>
          <w:p w14:paraId="026A8758"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w:t>
            </w:r>
          </w:p>
        </w:tc>
        <w:tc>
          <w:tcPr>
            <w:tcW w:w="1480" w:type="dxa"/>
            <w:tcBorders>
              <w:top w:val="nil"/>
              <w:left w:val="nil"/>
              <w:bottom w:val="nil"/>
              <w:right w:val="nil"/>
            </w:tcBorders>
            <w:shd w:val="clear" w:color="auto" w:fill="auto"/>
            <w:noWrap/>
            <w:vAlign w:val="bottom"/>
            <w:hideMark/>
          </w:tcPr>
          <w:p w14:paraId="4BD6EB13" w14:textId="77777777" w:rsidR="00C243CD" w:rsidRPr="00B4077C" w:rsidRDefault="00C243CD" w:rsidP="00056DFC">
            <w:pPr>
              <w:spacing w:after="0" w:line="240" w:lineRule="auto"/>
              <w:jc w:val="center"/>
              <w:rPr>
                <w:rFonts w:eastAsia="Times New Roman" w:cstheme="minorHAnsi"/>
                <w:sz w:val="20"/>
                <w:szCs w:val="20"/>
                <w:lang w:eastAsia="it-IT"/>
              </w:rPr>
            </w:pPr>
          </w:p>
        </w:tc>
      </w:tr>
      <w:tr w:rsidR="00C243CD" w:rsidRPr="00B4077C" w14:paraId="0033E058" w14:textId="77777777" w:rsidTr="00BF2BCA">
        <w:trPr>
          <w:trHeight w:val="300"/>
        </w:trPr>
        <w:tc>
          <w:tcPr>
            <w:tcW w:w="1540" w:type="dxa"/>
            <w:tcBorders>
              <w:top w:val="nil"/>
              <w:left w:val="nil"/>
              <w:bottom w:val="nil"/>
              <w:right w:val="nil"/>
            </w:tcBorders>
            <w:shd w:val="clear" w:color="auto" w:fill="auto"/>
            <w:noWrap/>
            <w:vAlign w:val="center"/>
            <w:hideMark/>
          </w:tcPr>
          <w:p w14:paraId="4E4D684E"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Danimarca</w:t>
            </w:r>
          </w:p>
        </w:tc>
        <w:tc>
          <w:tcPr>
            <w:tcW w:w="1260" w:type="dxa"/>
            <w:tcBorders>
              <w:top w:val="nil"/>
              <w:left w:val="nil"/>
              <w:bottom w:val="nil"/>
              <w:right w:val="nil"/>
            </w:tcBorders>
            <w:shd w:val="clear" w:color="auto" w:fill="auto"/>
            <w:noWrap/>
            <w:vAlign w:val="center"/>
            <w:hideMark/>
          </w:tcPr>
          <w:p w14:paraId="0AA7530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5.823</w:t>
            </w:r>
          </w:p>
        </w:tc>
        <w:tc>
          <w:tcPr>
            <w:tcW w:w="1360" w:type="dxa"/>
            <w:tcBorders>
              <w:top w:val="nil"/>
              <w:left w:val="nil"/>
              <w:bottom w:val="nil"/>
              <w:right w:val="nil"/>
            </w:tcBorders>
            <w:shd w:val="clear" w:color="auto" w:fill="auto"/>
            <w:noWrap/>
            <w:vAlign w:val="center"/>
            <w:hideMark/>
          </w:tcPr>
          <w:p w14:paraId="5027F899"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2.068</w:t>
            </w:r>
          </w:p>
        </w:tc>
        <w:tc>
          <w:tcPr>
            <w:tcW w:w="1240" w:type="dxa"/>
            <w:tcBorders>
              <w:top w:val="nil"/>
              <w:left w:val="nil"/>
              <w:bottom w:val="nil"/>
              <w:right w:val="nil"/>
            </w:tcBorders>
            <w:shd w:val="clear" w:color="auto" w:fill="auto"/>
            <w:noWrap/>
            <w:vAlign w:val="center"/>
            <w:hideMark/>
          </w:tcPr>
          <w:p w14:paraId="2878D80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1.877</w:t>
            </w:r>
          </w:p>
        </w:tc>
        <w:tc>
          <w:tcPr>
            <w:tcW w:w="1420" w:type="dxa"/>
            <w:tcBorders>
              <w:top w:val="nil"/>
              <w:left w:val="nil"/>
              <w:bottom w:val="nil"/>
              <w:right w:val="nil"/>
            </w:tcBorders>
            <w:shd w:val="clear" w:color="auto" w:fill="auto"/>
            <w:noWrap/>
            <w:vAlign w:val="center"/>
            <w:hideMark/>
          </w:tcPr>
          <w:p w14:paraId="3F0370B6"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1.266</w:t>
            </w:r>
          </w:p>
        </w:tc>
        <w:tc>
          <w:tcPr>
            <w:tcW w:w="1240" w:type="dxa"/>
            <w:tcBorders>
              <w:top w:val="nil"/>
              <w:left w:val="nil"/>
              <w:bottom w:val="nil"/>
              <w:right w:val="nil"/>
            </w:tcBorders>
            <w:shd w:val="clear" w:color="auto" w:fill="auto"/>
            <w:noWrap/>
            <w:vAlign w:val="center"/>
            <w:hideMark/>
          </w:tcPr>
          <w:p w14:paraId="0207C180"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73</w:t>
            </w:r>
          </w:p>
        </w:tc>
        <w:tc>
          <w:tcPr>
            <w:tcW w:w="1480" w:type="dxa"/>
            <w:tcBorders>
              <w:top w:val="nil"/>
              <w:left w:val="nil"/>
              <w:bottom w:val="nil"/>
              <w:right w:val="nil"/>
            </w:tcBorders>
            <w:shd w:val="clear" w:color="auto" w:fill="auto"/>
            <w:noWrap/>
            <w:vAlign w:val="center"/>
            <w:hideMark/>
          </w:tcPr>
          <w:p w14:paraId="7E96F4A2"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55</w:t>
            </w:r>
          </w:p>
        </w:tc>
      </w:tr>
      <w:tr w:rsidR="00C243CD" w:rsidRPr="00B4077C" w14:paraId="468D4591" w14:textId="77777777" w:rsidTr="00BF2BCA">
        <w:trPr>
          <w:trHeight w:val="300"/>
        </w:trPr>
        <w:tc>
          <w:tcPr>
            <w:tcW w:w="1540" w:type="dxa"/>
            <w:tcBorders>
              <w:top w:val="nil"/>
              <w:left w:val="nil"/>
              <w:bottom w:val="nil"/>
              <w:right w:val="nil"/>
            </w:tcBorders>
            <w:shd w:val="clear" w:color="auto" w:fill="auto"/>
            <w:noWrap/>
            <w:vAlign w:val="center"/>
            <w:hideMark/>
          </w:tcPr>
          <w:p w14:paraId="61325354"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Francia</w:t>
            </w:r>
          </w:p>
        </w:tc>
        <w:tc>
          <w:tcPr>
            <w:tcW w:w="1260" w:type="dxa"/>
            <w:tcBorders>
              <w:top w:val="nil"/>
              <w:left w:val="nil"/>
              <w:bottom w:val="nil"/>
              <w:right w:val="nil"/>
            </w:tcBorders>
            <w:shd w:val="clear" w:color="auto" w:fill="auto"/>
            <w:noWrap/>
            <w:vAlign w:val="center"/>
            <w:hideMark/>
          </w:tcPr>
          <w:p w14:paraId="62B3A2AB"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67.099</w:t>
            </w:r>
          </w:p>
        </w:tc>
        <w:tc>
          <w:tcPr>
            <w:tcW w:w="1360" w:type="dxa"/>
            <w:tcBorders>
              <w:top w:val="nil"/>
              <w:left w:val="nil"/>
              <w:bottom w:val="nil"/>
              <w:right w:val="nil"/>
            </w:tcBorders>
            <w:shd w:val="clear" w:color="auto" w:fill="auto"/>
            <w:noWrap/>
            <w:vAlign w:val="center"/>
            <w:hideMark/>
          </w:tcPr>
          <w:p w14:paraId="20746A97"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11.151</w:t>
            </w:r>
          </w:p>
        </w:tc>
        <w:tc>
          <w:tcPr>
            <w:tcW w:w="1240" w:type="dxa"/>
            <w:tcBorders>
              <w:top w:val="nil"/>
              <w:left w:val="nil"/>
              <w:bottom w:val="nil"/>
              <w:right w:val="nil"/>
            </w:tcBorders>
            <w:shd w:val="clear" w:color="auto" w:fill="auto"/>
            <w:noWrap/>
            <w:vAlign w:val="center"/>
            <w:hideMark/>
          </w:tcPr>
          <w:p w14:paraId="2D29EEFC"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3.844</w:t>
            </w:r>
          </w:p>
        </w:tc>
        <w:tc>
          <w:tcPr>
            <w:tcW w:w="1420" w:type="dxa"/>
            <w:tcBorders>
              <w:top w:val="nil"/>
              <w:left w:val="nil"/>
              <w:bottom w:val="nil"/>
              <w:right w:val="nil"/>
            </w:tcBorders>
            <w:shd w:val="clear" w:color="auto" w:fill="auto"/>
            <w:noWrap/>
            <w:vAlign w:val="center"/>
            <w:hideMark/>
          </w:tcPr>
          <w:p w14:paraId="3CC2020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2.950</w:t>
            </w:r>
          </w:p>
        </w:tc>
        <w:tc>
          <w:tcPr>
            <w:tcW w:w="1240" w:type="dxa"/>
            <w:tcBorders>
              <w:top w:val="nil"/>
              <w:left w:val="nil"/>
              <w:bottom w:val="nil"/>
              <w:right w:val="nil"/>
            </w:tcBorders>
            <w:shd w:val="clear" w:color="auto" w:fill="auto"/>
            <w:noWrap/>
            <w:vAlign w:val="center"/>
            <w:hideMark/>
          </w:tcPr>
          <w:p w14:paraId="79D3ACA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w:t>
            </w:r>
          </w:p>
        </w:tc>
        <w:tc>
          <w:tcPr>
            <w:tcW w:w="1480" w:type="dxa"/>
            <w:tcBorders>
              <w:top w:val="nil"/>
              <w:left w:val="nil"/>
              <w:bottom w:val="nil"/>
              <w:right w:val="nil"/>
            </w:tcBorders>
            <w:shd w:val="clear" w:color="auto" w:fill="auto"/>
            <w:noWrap/>
            <w:vAlign w:val="bottom"/>
            <w:hideMark/>
          </w:tcPr>
          <w:p w14:paraId="4892E5F8" w14:textId="77777777" w:rsidR="00C243CD" w:rsidRPr="00B4077C" w:rsidRDefault="00C243CD" w:rsidP="00056DFC">
            <w:pPr>
              <w:spacing w:after="0" w:line="240" w:lineRule="auto"/>
              <w:jc w:val="center"/>
              <w:rPr>
                <w:rFonts w:eastAsia="Times New Roman" w:cstheme="minorHAnsi"/>
                <w:sz w:val="20"/>
                <w:szCs w:val="20"/>
                <w:lang w:eastAsia="it-IT"/>
              </w:rPr>
            </w:pPr>
          </w:p>
        </w:tc>
      </w:tr>
      <w:tr w:rsidR="00C243CD" w:rsidRPr="00B4077C" w14:paraId="6A28FE00" w14:textId="77777777" w:rsidTr="00BF2BCA">
        <w:trPr>
          <w:trHeight w:val="300"/>
        </w:trPr>
        <w:tc>
          <w:tcPr>
            <w:tcW w:w="1540" w:type="dxa"/>
            <w:tcBorders>
              <w:top w:val="nil"/>
              <w:left w:val="nil"/>
              <w:bottom w:val="nil"/>
              <w:right w:val="nil"/>
            </w:tcBorders>
            <w:shd w:val="clear" w:color="auto" w:fill="auto"/>
            <w:noWrap/>
            <w:vAlign w:val="center"/>
            <w:hideMark/>
          </w:tcPr>
          <w:p w14:paraId="34B2A9C9"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Finlandia</w:t>
            </w:r>
          </w:p>
        </w:tc>
        <w:tc>
          <w:tcPr>
            <w:tcW w:w="1260" w:type="dxa"/>
            <w:tcBorders>
              <w:top w:val="nil"/>
              <w:left w:val="nil"/>
              <w:bottom w:val="nil"/>
              <w:right w:val="nil"/>
            </w:tcBorders>
            <w:shd w:val="clear" w:color="auto" w:fill="auto"/>
            <w:noWrap/>
            <w:vAlign w:val="center"/>
            <w:hideMark/>
          </w:tcPr>
          <w:p w14:paraId="4528634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5.525</w:t>
            </w:r>
          </w:p>
        </w:tc>
        <w:tc>
          <w:tcPr>
            <w:tcW w:w="1360" w:type="dxa"/>
            <w:tcBorders>
              <w:top w:val="nil"/>
              <w:left w:val="nil"/>
              <w:bottom w:val="nil"/>
              <w:right w:val="nil"/>
            </w:tcBorders>
            <w:shd w:val="clear" w:color="auto" w:fill="auto"/>
            <w:noWrap/>
            <w:vAlign w:val="center"/>
            <w:hideMark/>
          </w:tcPr>
          <w:p w14:paraId="39748948"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1.869</w:t>
            </w:r>
          </w:p>
        </w:tc>
        <w:tc>
          <w:tcPr>
            <w:tcW w:w="1240" w:type="dxa"/>
            <w:tcBorders>
              <w:top w:val="nil"/>
              <w:left w:val="nil"/>
              <w:bottom w:val="nil"/>
              <w:right w:val="nil"/>
            </w:tcBorders>
            <w:shd w:val="clear" w:color="auto" w:fill="auto"/>
            <w:noWrap/>
            <w:vAlign w:val="center"/>
            <w:hideMark/>
          </w:tcPr>
          <w:p w14:paraId="46C372BC"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1.995</w:t>
            </w:r>
          </w:p>
        </w:tc>
        <w:tc>
          <w:tcPr>
            <w:tcW w:w="1420" w:type="dxa"/>
            <w:tcBorders>
              <w:top w:val="nil"/>
              <w:left w:val="nil"/>
              <w:bottom w:val="nil"/>
              <w:right w:val="nil"/>
            </w:tcBorders>
            <w:shd w:val="clear" w:color="auto" w:fill="auto"/>
            <w:noWrap/>
            <w:vAlign w:val="center"/>
            <w:hideMark/>
          </w:tcPr>
          <w:p w14:paraId="53157F7F"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1.427</w:t>
            </w:r>
          </w:p>
        </w:tc>
        <w:tc>
          <w:tcPr>
            <w:tcW w:w="1240" w:type="dxa"/>
            <w:tcBorders>
              <w:top w:val="nil"/>
              <w:left w:val="nil"/>
              <w:bottom w:val="nil"/>
              <w:right w:val="nil"/>
            </w:tcBorders>
            <w:shd w:val="clear" w:color="auto" w:fill="auto"/>
            <w:noWrap/>
            <w:vAlign w:val="center"/>
            <w:hideMark/>
          </w:tcPr>
          <w:p w14:paraId="7AC905DF"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57</w:t>
            </w:r>
          </w:p>
        </w:tc>
        <w:tc>
          <w:tcPr>
            <w:tcW w:w="1480" w:type="dxa"/>
            <w:tcBorders>
              <w:top w:val="nil"/>
              <w:left w:val="nil"/>
              <w:bottom w:val="nil"/>
              <w:right w:val="nil"/>
            </w:tcBorders>
            <w:shd w:val="clear" w:color="auto" w:fill="auto"/>
            <w:noWrap/>
            <w:vAlign w:val="center"/>
            <w:hideMark/>
          </w:tcPr>
          <w:p w14:paraId="0CF33AF2"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58</w:t>
            </w:r>
          </w:p>
        </w:tc>
      </w:tr>
      <w:tr w:rsidR="00C243CD" w:rsidRPr="00B4077C" w14:paraId="3DADEB40" w14:textId="77777777" w:rsidTr="00BF2BCA">
        <w:trPr>
          <w:trHeight w:val="300"/>
        </w:trPr>
        <w:tc>
          <w:tcPr>
            <w:tcW w:w="1540" w:type="dxa"/>
            <w:tcBorders>
              <w:top w:val="nil"/>
              <w:left w:val="nil"/>
              <w:bottom w:val="nil"/>
              <w:right w:val="nil"/>
            </w:tcBorders>
            <w:shd w:val="clear" w:color="auto" w:fill="auto"/>
            <w:noWrap/>
            <w:vAlign w:val="center"/>
            <w:hideMark/>
          </w:tcPr>
          <w:p w14:paraId="41A526A8"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Germania</w:t>
            </w:r>
          </w:p>
        </w:tc>
        <w:tc>
          <w:tcPr>
            <w:tcW w:w="1260" w:type="dxa"/>
            <w:tcBorders>
              <w:top w:val="nil"/>
              <w:left w:val="nil"/>
              <w:bottom w:val="nil"/>
              <w:right w:val="nil"/>
            </w:tcBorders>
            <w:shd w:val="clear" w:color="auto" w:fill="auto"/>
            <w:noWrap/>
            <w:vAlign w:val="center"/>
            <w:hideMark/>
          </w:tcPr>
          <w:p w14:paraId="77C8E10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83.167</w:t>
            </w:r>
          </w:p>
        </w:tc>
        <w:tc>
          <w:tcPr>
            <w:tcW w:w="1360" w:type="dxa"/>
            <w:tcBorders>
              <w:top w:val="nil"/>
              <w:left w:val="nil"/>
              <w:bottom w:val="nil"/>
              <w:right w:val="nil"/>
            </w:tcBorders>
            <w:shd w:val="clear" w:color="auto" w:fill="auto"/>
            <w:noWrap/>
            <w:vAlign w:val="center"/>
            <w:hideMark/>
          </w:tcPr>
          <w:p w14:paraId="706CEBBB"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14.458</w:t>
            </w:r>
          </w:p>
        </w:tc>
        <w:tc>
          <w:tcPr>
            <w:tcW w:w="1240" w:type="dxa"/>
            <w:tcBorders>
              <w:top w:val="nil"/>
              <w:left w:val="nil"/>
              <w:bottom w:val="nil"/>
              <w:right w:val="nil"/>
            </w:tcBorders>
            <w:shd w:val="clear" w:color="auto" w:fill="auto"/>
            <w:noWrap/>
            <w:vAlign w:val="center"/>
            <w:hideMark/>
          </w:tcPr>
          <w:p w14:paraId="1D9C554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3.486</w:t>
            </w:r>
          </w:p>
        </w:tc>
        <w:tc>
          <w:tcPr>
            <w:tcW w:w="1420" w:type="dxa"/>
            <w:tcBorders>
              <w:top w:val="nil"/>
              <w:left w:val="nil"/>
              <w:bottom w:val="nil"/>
              <w:right w:val="nil"/>
            </w:tcBorders>
            <w:shd w:val="clear" w:color="auto" w:fill="auto"/>
            <w:noWrap/>
            <w:vAlign w:val="center"/>
            <w:hideMark/>
          </w:tcPr>
          <w:p w14:paraId="117F5CE2"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3.259</w:t>
            </w:r>
          </w:p>
        </w:tc>
        <w:tc>
          <w:tcPr>
            <w:tcW w:w="1240" w:type="dxa"/>
            <w:tcBorders>
              <w:top w:val="nil"/>
              <w:left w:val="nil"/>
              <w:bottom w:val="nil"/>
              <w:right w:val="nil"/>
            </w:tcBorders>
            <w:shd w:val="clear" w:color="auto" w:fill="auto"/>
            <w:noWrap/>
            <w:vAlign w:val="center"/>
            <w:hideMark/>
          </w:tcPr>
          <w:p w14:paraId="5E1AFB67"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w:t>
            </w:r>
          </w:p>
        </w:tc>
        <w:tc>
          <w:tcPr>
            <w:tcW w:w="1480" w:type="dxa"/>
            <w:tcBorders>
              <w:top w:val="nil"/>
              <w:left w:val="nil"/>
              <w:bottom w:val="nil"/>
              <w:right w:val="nil"/>
            </w:tcBorders>
            <w:shd w:val="clear" w:color="auto" w:fill="auto"/>
            <w:noWrap/>
            <w:vAlign w:val="center"/>
            <w:hideMark/>
          </w:tcPr>
          <w:p w14:paraId="4C2B8C30"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93</w:t>
            </w:r>
          </w:p>
        </w:tc>
      </w:tr>
      <w:tr w:rsidR="00C243CD" w:rsidRPr="00B4077C" w14:paraId="06188ABC" w14:textId="77777777" w:rsidTr="00BF2BCA">
        <w:trPr>
          <w:trHeight w:val="300"/>
        </w:trPr>
        <w:tc>
          <w:tcPr>
            <w:tcW w:w="1540" w:type="dxa"/>
            <w:tcBorders>
              <w:top w:val="nil"/>
              <w:left w:val="nil"/>
              <w:bottom w:val="nil"/>
              <w:right w:val="nil"/>
            </w:tcBorders>
            <w:shd w:val="clear" w:color="auto" w:fill="auto"/>
            <w:noWrap/>
            <w:vAlign w:val="center"/>
            <w:hideMark/>
          </w:tcPr>
          <w:p w14:paraId="5426B99C"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Grecia</w:t>
            </w:r>
          </w:p>
        </w:tc>
        <w:tc>
          <w:tcPr>
            <w:tcW w:w="1260" w:type="dxa"/>
            <w:tcBorders>
              <w:top w:val="nil"/>
              <w:left w:val="nil"/>
              <w:bottom w:val="nil"/>
              <w:right w:val="nil"/>
            </w:tcBorders>
            <w:shd w:val="clear" w:color="auto" w:fill="auto"/>
            <w:noWrap/>
            <w:vAlign w:val="center"/>
            <w:hideMark/>
          </w:tcPr>
          <w:p w14:paraId="6CAB7AD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10.710</w:t>
            </w:r>
          </w:p>
        </w:tc>
        <w:tc>
          <w:tcPr>
            <w:tcW w:w="1360" w:type="dxa"/>
            <w:tcBorders>
              <w:top w:val="nil"/>
              <w:left w:val="nil"/>
              <w:bottom w:val="nil"/>
              <w:right w:val="nil"/>
            </w:tcBorders>
            <w:shd w:val="clear" w:color="auto" w:fill="auto"/>
            <w:noWrap/>
            <w:vAlign w:val="center"/>
            <w:hideMark/>
          </w:tcPr>
          <w:p w14:paraId="0993D2BD"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5.889</w:t>
            </w:r>
          </w:p>
        </w:tc>
        <w:tc>
          <w:tcPr>
            <w:tcW w:w="1240" w:type="dxa"/>
            <w:tcBorders>
              <w:top w:val="nil"/>
              <w:left w:val="nil"/>
              <w:bottom w:val="nil"/>
              <w:right w:val="nil"/>
            </w:tcBorders>
            <w:shd w:val="clear" w:color="auto" w:fill="auto"/>
            <w:noWrap/>
            <w:vAlign w:val="center"/>
            <w:hideMark/>
          </w:tcPr>
          <w:p w14:paraId="0708474C"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770</w:t>
            </w:r>
          </w:p>
        </w:tc>
        <w:tc>
          <w:tcPr>
            <w:tcW w:w="1420" w:type="dxa"/>
            <w:tcBorders>
              <w:top w:val="nil"/>
              <w:left w:val="nil"/>
              <w:bottom w:val="nil"/>
              <w:right w:val="nil"/>
            </w:tcBorders>
            <w:shd w:val="clear" w:color="auto" w:fill="auto"/>
            <w:noWrap/>
            <w:vAlign w:val="center"/>
            <w:hideMark/>
          </w:tcPr>
          <w:p w14:paraId="63A3EFA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801</w:t>
            </w:r>
          </w:p>
        </w:tc>
        <w:tc>
          <w:tcPr>
            <w:tcW w:w="1240" w:type="dxa"/>
            <w:tcBorders>
              <w:top w:val="nil"/>
              <w:left w:val="nil"/>
              <w:bottom w:val="nil"/>
              <w:right w:val="nil"/>
            </w:tcBorders>
            <w:shd w:val="clear" w:color="auto" w:fill="auto"/>
            <w:noWrap/>
            <w:vAlign w:val="center"/>
            <w:hideMark/>
          </w:tcPr>
          <w:p w14:paraId="232D8042"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w:t>
            </w:r>
          </w:p>
        </w:tc>
        <w:tc>
          <w:tcPr>
            <w:tcW w:w="1480" w:type="dxa"/>
            <w:tcBorders>
              <w:top w:val="nil"/>
              <w:left w:val="nil"/>
              <w:bottom w:val="nil"/>
              <w:right w:val="nil"/>
            </w:tcBorders>
            <w:shd w:val="clear" w:color="auto" w:fill="auto"/>
            <w:noWrap/>
            <w:vAlign w:val="center"/>
            <w:hideMark/>
          </w:tcPr>
          <w:p w14:paraId="239E2C5C"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89</w:t>
            </w:r>
          </w:p>
        </w:tc>
      </w:tr>
      <w:tr w:rsidR="00C243CD" w:rsidRPr="00B4077C" w14:paraId="3A2AC3DD" w14:textId="77777777" w:rsidTr="00BF2BCA">
        <w:trPr>
          <w:trHeight w:val="300"/>
        </w:trPr>
        <w:tc>
          <w:tcPr>
            <w:tcW w:w="1540" w:type="dxa"/>
            <w:tcBorders>
              <w:top w:val="nil"/>
              <w:left w:val="nil"/>
              <w:bottom w:val="nil"/>
              <w:right w:val="nil"/>
            </w:tcBorders>
            <w:shd w:val="clear" w:color="auto" w:fill="auto"/>
            <w:noWrap/>
            <w:vAlign w:val="center"/>
            <w:hideMark/>
          </w:tcPr>
          <w:p w14:paraId="768F0272" w14:textId="77777777" w:rsidR="00C243CD" w:rsidRPr="00B4077C" w:rsidRDefault="00C243CD" w:rsidP="00056DFC">
            <w:pPr>
              <w:spacing w:after="0" w:line="240" w:lineRule="auto"/>
              <w:rPr>
                <w:rFonts w:eastAsia="Times New Roman" w:cstheme="minorHAnsi"/>
                <w:b/>
                <w:bCs/>
                <w:sz w:val="20"/>
                <w:szCs w:val="20"/>
                <w:lang w:eastAsia="it-IT"/>
              </w:rPr>
            </w:pPr>
            <w:r w:rsidRPr="00B4077C">
              <w:rPr>
                <w:rFonts w:eastAsia="Times New Roman" w:cstheme="minorHAnsi"/>
                <w:b/>
                <w:bCs/>
                <w:sz w:val="20"/>
                <w:szCs w:val="20"/>
                <w:lang w:eastAsia="it-IT"/>
              </w:rPr>
              <w:t>Italia</w:t>
            </w:r>
          </w:p>
        </w:tc>
        <w:tc>
          <w:tcPr>
            <w:tcW w:w="1260" w:type="dxa"/>
            <w:tcBorders>
              <w:top w:val="nil"/>
              <w:left w:val="nil"/>
              <w:bottom w:val="nil"/>
              <w:right w:val="nil"/>
            </w:tcBorders>
            <w:shd w:val="clear" w:color="auto" w:fill="auto"/>
            <w:noWrap/>
            <w:vAlign w:val="center"/>
            <w:hideMark/>
          </w:tcPr>
          <w:p w14:paraId="675DB96F"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60.245</w:t>
            </w:r>
          </w:p>
        </w:tc>
        <w:tc>
          <w:tcPr>
            <w:tcW w:w="1360" w:type="dxa"/>
            <w:tcBorders>
              <w:top w:val="nil"/>
              <w:left w:val="nil"/>
              <w:bottom w:val="nil"/>
              <w:right w:val="nil"/>
            </w:tcBorders>
            <w:shd w:val="clear" w:color="auto" w:fill="auto"/>
            <w:noWrap/>
            <w:vAlign w:val="center"/>
            <w:hideMark/>
          </w:tcPr>
          <w:p w14:paraId="119FD86E"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22.608</w:t>
            </w:r>
          </w:p>
        </w:tc>
        <w:tc>
          <w:tcPr>
            <w:tcW w:w="1240" w:type="dxa"/>
            <w:tcBorders>
              <w:top w:val="nil"/>
              <w:left w:val="nil"/>
              <w:bottom w:val="nil"/>
              <w:right w:val="nil"/>
            </w:tcBorders>
            <w:shd w:val="clear" w:color="auto" w:fill="auto"/>
            <w:noWrap/>
            <w:vAlign w:val="center"/>
            <w:hideMark/>
          </w:tcPr>
          <w:p w14:paraId="3C3EA62A"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1.237</w:t>
            </w:r>
          </w:p>
        </w:tc>
        <w:tc>
          <w:tcPr>
            <w:tcW w:w="1420" w:type="dxa"/>
            <w:tcBorders>
              <w:top w:val="nil"/>
              <w:left w:val="nil"/>
              <w:bottom w:val="nil"/>
              <w:right w:val="nil"/>
            </w:tcBorders>
            <w:shd w:val="clear" w:color="auto" w:fill="auto"/>
            <w:noWrap/>
            <w:vAlign w:val="center"/>
            <w:hideMark/>
          </w:tcPr>
          <w:p w14:paraId="4A79678F"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1.778</w:t>
            </w:r>
          </w:p>
        </w:tc>
        <w:tc>
          <w:tcPr>
            <w:tcW w:w="1240" w:type="dxa"/>
            <w:tcBorders>
              <w:top w:val="nil"/>
              <w:left w:val="nil"/>
              <w:bottom w:val="nil"/>
              <w:right w:val="nil"/>
            </w:tcBorders>
            <w:shd w:val="clear" w:color="auto" w:fill="auto"/>
            <w:noWrap/>
            <w:vAlign w:val="center"/>
            <w:hideMark/>
          </w:tcPr>
          <w:p w14:paraId="2E86ABAC"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14</w:t>
            </w:r>
          </w:p>
        </w:tc>
        <w:tc>
          <w:tcPr>
            <w:tcW w:w="1480" w:type="dxa"/>
            <w:tcBorders>
              <w:top w:val="nil"/>
              <w:left w:val="nil"/>
              <w:bottom w:val="nil"/>
              <w:right w:val="nil"/>
            </w:tcBorders>
            <w:shd w:val="clear" w:color="auto" w:fill="auto"/>
            <w:noWrap/>
            <w:vAlign w:val="center"/>
            <w:hideMark/>
          </w:tcPr>
          <w:p w14:paraId="7F74AD56"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40</w:t>
            </w:r>
          </w:p>
        </w:tc>
      </w:tr>
      <w:tr w:rsidR="00C243CD" w:rsidRPr="00B4077C" w14:paraId="6599B006" w14:textId="77777777" w:rsidTr="00BF2BCA">
        <w:trPr>
          <w:trHeight w:val="300"/>
        </w:trPr>
        <w:tc>
          <w:tcPr>
            <w:tcW w:w="1540" w:type="dxa"/>
            <w:tcBorders>
              <w:top w:val="nil"/>
              <w:left w:val="nil"/>
              <w:bottom w:val="nil"/>
              <w:right w:val="nil"/>
            </w:tcBorders>
            <w:shd w:val="clear" w:color="auto" w:fill="auto"/>
            <w:noWrap/>
            <w:vAlign w:val="center"/>
            <w:hideMark/>
          </w:tcPr>
          <w:p w14:paraId="15A8C66F"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Polonia</w:t>
            </w:r>
          </w:p>
        </w:tc>
        <w:tc>
          <w:tcPr>
            <w:tcW w:w="1260" w:type="dxa"/>
            <w:tcBorders>
              <w:top w:val="nil"/>
              <w:left w:val="nil"/>
              <w:bottom w:val="nil"/>
              <w:right w:val="nil"/>
            </w:tcBorders>
            <w:shd w:val="clear" w:color="auto" w:fill="auto"/>
            <w:noWrap/>
            <w:vAlign w:val="center"/>
            <w:hideMark/>
          </w:tcPr>
          <w:p w14:paraId="06D15F4D"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37.958</w:t>
            </w:r>
          </w:p>
        </w:tc>
        <w:tc>
          <w:tcPr>
            <w:tcW w:w="1360" w:type="dxa"/>
            <w:tcBorders>
              <w:top w:val="nil"/>
              <w:left w:val="nil"/>
              <w:bottom w:val="nil"/>
              <w:right w:val="nil"/>
            </w:tcBorders>
            <w:shd w:val="clear" w:color="auto" w:fill="auto"/>
            <w:noWrap/>
            <w:vAlign w:val="center"/>
            <w:hideMark/>
          </w:tcPr>
          <w:p w14:paraId="2941D1AF"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7.852</w:t>
            </w:r>
          </w:p>
        </w:tc>
        <w:tc>
          <w:tcPr>
            <w:tcW w:w="1240" w:type="dxa"/>
            <w:tcBorders>
              <w:top w:val="nil"/>
              <w:left w:val="nil"/>
              <w:bottom w:val="nil"/>
              <w:right w:val="nil"/>
            </w:tcBorders>
            <w:shd w:val="clear" w:color="auto" w:fill="auto"/>
            <w:noWrap/>
            <w:vAlign w:val="center"/>
            <w:hideMark/>
          </w:tcPr>
          <w:p w14:paraId="5D15EFB4"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3.106</w:t>
            </w:r>
          </w:p>
        </w:tc>
        <w:tc>
          <w:tcPr>
            <w:tcW w:w="1420" w:type="dxa"/>
            <w:tcBorders>
              <w:top w:val="nil"/>
              <w:left w:val="nil"/>
              <w:bottom w:val="nil"/>
              <w:right w:val="nil"/>
            </w:tcBorders>
            <w:shd w:val="clear" w:color="auto" w:fill="auto"/>
            <w:noWrap/>
            <w:vAlign w:val="center"/>
            <w:hideMark/>
          </w:tcPr>
          <w:p w14:paraId="2D99B10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3.071</w:t>
            </w:r>
          </w:p>
        </w:tc>
        <w:tc>
          <w:tcPr>
            <w:tcW w:w="1240" w:type="dxa"/>
            <w:tcBorders>
              <w:top w:val="nil"/>
              <w:left w:val="nil"/>
              <w:bottom w:val="nil"/>
              <w:right w:val="nil"/>
            </w:tcBorders>
            <w:shd w:val="clear" w:color="auto" w:fill="auto"/>
            <w:noWrap/>
            <w:vAlign w:val="center"/>
            <w:hideMark/>
          </w:tcPr>
          <w:p w14:paraId="7C28E47B"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w:t>
            </w:r>
          </w:p>
        </w:tc>
        <w:tc>
          <w:tcPr>
            <w:tcW w:w="1480" w:type="dxa"/>
            <w:tcBorders>
              <w:top w:val="nil"/>
              <w:left w:val="nil"/>
              <w:bottom w:val="nil"/>
              <w:right w:val="nil"/>
            </w:tcBorders>
            <w:shd w:val="clear" w:color="auto" w:fill="auto"/>
            <w:noWrap/>
            <w:vAlign w:val="center"/>
            <w:hideMark/>
          </w:tcPr>
          <w:p w14:paraId="47D23074"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98</w:t>
            </w:r>
          </w:p>
        </w:tc>
      </w:tr>
      <w:tr w:rsidR="00C243CD" w:rsidRPr="00B4077C" w14:paraId="4FA72E5D" w14:textId="77777777" w:rsidTr="00BF2BCA">
        <w:trPr>
          <w:trHeight w:val="300"/>
        </w:trPr>
        <w:tc>
          <w:tcPr>
            <w:tcW w:w="1540" w:type="dxa"/>
            <w:tcBorders>
              <w:top w:val="nil"/>
              <w:left w:val="nil"/>
              <w:bottom w:val="nil"/>
              <w:right w:val="nil"/>
            </w:tcBorders>
            <w:shd w:val="clear" w:color="auto" w:fill="auto"/>
            <w:noWrap/>
            <w:vAlign w:val="center"/>
            <w:hideMark/>
          </w:tcPr>
          <w:p w14:paraId="5402C6DF"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Portogallo</w:t>
            </w:r>
          </w:p>
        </w:tc>
        <w:tc>
          <w:tcPr>
            <w:tcW w:w="1260" w:type="dxa"/>
            <w:tcBorders>
              <w:top w:val="nil"/>
              <w:left w:val="nil"/>
              <w:bottom w:val="nil"/>
              <w:right w:val="nil"/>
            </w:tcBorders>
            <w:shd w:val="clear" w:color="auto" w:fill="auto"/>
            <w:noWrap/>
            <w:vAlign w:val="center"/>
            <w:hideMark/>
          </w:tcPr>
          <w:p w14:paraId="09943A0C"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10.296</w:t>
            </w:r>
          </w:p>
        </w:tc>
        <w:tc>
          <w:tcPr>
            <w:tcW w:w="1360" w:type="dxa"/>
            <w:tcBorders>
              <w:top w:val="nil"/>
              <w:left w:val="nil"/>
              <w:bottom w:val="nil"/>
              <w:right w:val="nil"/>
            </w:tcBorders>
            <w:shd w:val="clear" w:color="auto" w:fill="auto"/>
            <w:noWrap/>
            <w:vAlign w:val="center"/>
            <w:hideMark/>
          </w:tcPr>
          <w:p w14:paraId="16839A74"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3.333</w:t>
            </w:r>
          </w:p>
        </w:tc>
        <w:tc>
          <w:tcPr>
            <w:tcW w:w="1240" w:type="dxa"/>
            <w:tcBorders>
              <w:top w:val="nil"/>
              <w:left w:val="nil"/>
              <w:bottom w:val="nil"/>
              <w:right w:val="nil"/>
            </w:tcBorders>
            <w:shd w:val="clear" w:color="auto" w:fill="auto"/>
            <w:noWrap/>
            <w:vAlign w:val="center"/>
            <w:hideMark/>
          </w:tcPr>
          <w:p w14:paraId="51C9218A"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1.801</w:t>
            </w:r>
          </w:p>
        </w:tc>
        <w:tc>
          <w:tcPr>
            <w:tcW w:w="1420" w:type="dxa"/>
            <w:tcBorders>
              <w:top w:val="nil"/>
              <w:left w:val="nil"/>
              <w:bottom w:val="nil"/>
              <w:right w:val="nil"/>
            </w:tcBorders>
            <w:shd w:val="clear" w:color="auto" w:fill="auto"/>
            <w:noWrap/>
            <w:vAlign w:val="center"/>
            <w:hideMark/>
          </w:tcPr>
          <w:p w14:paraId="2C189D5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1.595</w:t>
            </w:r>
          </w:p>
        </w:tc>
        <w:tc>
          <w:tcPr>
            <w:tcW w:w="1240" w:type="dxa"/>
            <w:tcBorders>
              <w:top w:val="nil"/>
              <w:left w:val="nil"/>
              <w:bottom w:val="nil"/>
              <w:right w:val="nil"/>
            </w:tcBorders>
            <w:shd w:val="clear" w:color="auto" w:fill="auto"/>
            <w:noWrap/>
            <w:vAlign w:val="center"/>
            <w:hideMark/>
          </w:tcPr>
          <w:p w14:paraId="47584C19"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w:t>
            </w:r>
          </w:p>
        </w:tc>
        <w:tc>
          <w:tcPr>
            <w:tcW w:w="1480" w:type="dxa"/>
            <w:tcBorders>
              <w:top w:val="nil"/>
              <w:left w:val="nil"/>
              <w:bottom w:val="nil"/>
              <w:right w:val="nil"/>
            </w:tcBorders>
            <w:shd w:val="clear" w:color="auto" w:fill="auto"/>
            <w:noWrap/>
            <w:vAlign w:val="center"/>
            <w:hideMark/>
          </w:tcPr>
          <w:p w14:paraId="216C37D8"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36</w:t>
            </w:r>
          </w:p>
        </w:tc>
      </w:tr>
      <w:tr w:rsidR="00C243CD" w:rsidRPr="00B4077C" w14:paraId="39007274" w14:textId="77777777" w:rsidTr="00BF2BCA">
        <w:trPr>
          <w:trHeight w:val="300"/>
        </w:trPr>
        <w:tc>
          <w:tcPr>
            <w:tcW w:w="1540" w:type="dxa"/>
            <w:tcBorders>
              <w:top w:val="nil"/>
              <w:left w:val="nil"/>
              <w:bottom w:val="nil"/>
              <w:right w:val="nil"/>
            </w:tcBorders>
            <w:shd w:val="clear" w:color="auto" w:fill="auto"/>
            <w:noWrap/>
            <w:vAlign w:val="center"/>
            <w:hideMark/>
          </w:tcPr>
          <w:p w14:paraId="5BAA77E8"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Regno Unito</w:t>
            </w:r>
          </w:p>
        </w:tc>
        <w:tc>
          <w:tcPr>
            <w:tcW w:w="1260" w:type="dxa"/>
            <w:tcBorders>
              <w:top w:val="nil"/>
              <w:left w:val="nil"/>
              <w:bottom w:val="nil"/>
              <w:right w:val="nil"/>
            </w:tcBorders>
            <w:shd w:val="clear" w:color="auto" w:fill="auto"/>
            <w:noWrap/>
            <w:vAlign w:val="center"/>
            <w:hideMark/>
          </w:tcPr>
          <w:p w14:paraId="35C6DC1E"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65.808</w:t>
            </w:r>
          </w:p>
        </w:tc>
        <w:tc>
          <w:tcPr>
            <w:tcW w:w="1360" w:type="dxa"/>
            <w:tcBorders>
              <w:top w:val="nil"/>
              <w:left w:val="nil"/>
              <w:bottom w:val="nil"/>
              <w:right w:val="nil"/>
            </w:tcBorders>
            <w:shd w:val="clear" w:color="auto" w:fill="auto"/>
            <w:noWrap/>
            <w:vAlign w:val="center"/>
            <w:hideMark/>
          </w:tcPr>
          <w:p w14:paraId="28F746C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8.381</w:t>
            </w:r>
          </w:p>
        </w:tc>
        <w:tc>
          <w:tcPr>
            <w:tcW w:w="1240" w:type="dxa"/>
            <w:tcBorders>
              <w:top w:val="nil"/>
              <w:left w:val="nil"/>
              <w:bottom w:val="nil"/>
              <w:right w:val="nil"/>
            </w:tcBorders>
            <w:shd w:val="clear" w:color="auto" w:fill="auto"/>
            <w:noWrap/>
            <w:vAlign w:val="center"/>
            <w:hideMark/>
          </w:tcPr>
          <w:p w14:paraId="316274D7"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4.344</w:t>
            </w:r>
          </w:p>
        </w:tc>
        <w:tc>
          <w:tcPr>
            <w:tcW w:w="1420" w:type="dxa"/>
            <w:tcBorders>
              <w:top w:val="nil"/>
              <w:left w:val="nil"/>
              <w:bottom w:val="nil"/>
              <w:right w:val="nil"/>
            </w:tcBorders>
            <w:shd w:val="clear" w:color="auto" w:fill="auto"/>
            <w:noWrap/>
            <w:vAlign w:val="center"/>
            <w:hideMark/>
          </w:tcPr>
          <w:p w14:paraId="2929395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4.155</w:t>
            </w:r>
          </w:p>
        </w:tc>
        <w:tc>
          <w:tcPr>
            <w:tcW w:w="1240" w:type="dxa"/>
            <w:tcBorders>
              <w:top w:val="nil"/>
              <w:left w:val="nil"/>
              <w:bottom w:val="nil"/>
              <w:right w:val="nil"/>
            </w:tcBorders>
            <w:shd w:val="clear" w:color="auto" w:fill="auto"/>
            <w:noWrap/>
            <w:vAlign w:val="center"/>
            <w:hideMark/>
          </w:tcPr>
          <w:p w14:paraId="2D88B0C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w:t>
            </w:r>
          </w:p>
        </w:tc>
        <w:tc>
          <w:tcPr>
            <w:tcW w:w="1480" w:type="dxa"/>
            <w:tcBorders>
              <w:top w:val="nil"/>
              <w:left w:val="nil"/>
              <w:bottom w:val="nil"/>
              <w:right w:val="nil"/>
            </w:tcBorders>
            <w:shd w:val="clear" w:color="auto" w:fill="auto"/>
            <w:noWrap/>
            <w:vAlign w:val="center"/>
            <w:hideMark/>
          </w:tcPr>
          <w:p w14:paraId="6FF22EF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99</w:t>
            </w:r>
          </w:p>
        </w:tc>
      </w:tr>
      <w:tr w:rsidR="00C243CD" w:rsidRPr="00B4077C" w14:paraId="7A57AD99" w14:textId="77777777" w:rsidTr="00BF2BCA">
        <w:trPr>
          <w:trHeight w:val="300"/>
        </w:trPr>
        <w:tc>
          <w:tcPr>
            <w:tcW w:w="1540" w:type="dxa"/>
            <w:tcBorders>
              <w:top w:val="nil"/>
              <w:left w:val="nil"/>
              <w:bottom w:val="nil"/>
              <w:right w:val="nil"/>
            </w:tcBorders>
            <w:shd w:val="clear" w:color="auto" w:fill="auto"/>
            <w:noWrap/>
            <w:vAlign w:val="center"/>
            <w:hideMark/>
          </w:tcPr>
          <w:p w14:paraId="613392F2"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Spagna</w:t>
            </w:r>
          </w:p>
        </w:tc>
        <w:tc>
          <w:tcPr>
            <w:tcW w:w="1260" w:type="dxa"/>
            <w:tcBorders>
              <w:top w:val="nil"/>
              <w:left w:val="nil"/>
              <w:bottom w:val="nil"/>
              <w:right w:val="nil"/>
            </w:tcBorders>
            <w:shd w:val="clear" w:color="auto" w:fill="auto"/>
            <w:noWrap/>
            <w:vAlign w:val="center"/>
            <w:hideMark/>
          </w:tcPr>
          <w:p w14:paraId="129940B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47.330</w:t>
            </w:r>
          </w:p>
        </w:tc>
        <w:tc>
          <w:tcPr>
            <w:tcW w:w="1360" w:type="dxa"/>
            <w:tcBorders>
              <w:top w:val="nil"/>
              <w:left w:val="nil"/>
              <w:bottom w:val="nil"/>
              <w:right w:val="nil"/>
            </w:tcBorders>
            <w:shd w:val="clear" w:color="auto" w:fill="auto"/>
            <w:noWrap/>
            <w:vAlign w:val="center"/>
            <w:hideMark/>
          </w:tcPr>
          <w:p w14:paraId="1C541DB9"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11.810</w:t>
            </w:r>
          </w:p>
        </w:tc>
        <w:tc>
          <w:tcPr>
            <w:tcW w:w="1240" w:type="dxa"/>
            <w:tcBorders>
              <w:top w:val="nil"/>
              <w:left w:val="nil"/>
              <w:bottom w:val="nil"/>
              <w:right w:val="nil"/>
            </w:tcBorders>
            <w:shd w:val="clear" w:color="auto" w:fill="auto"/>
            <w:noWrap/>
            <w:vAlign w:val="center"/>
            <w:hideMark/>
          </w:tcPr>
          <w:p w14:paraId="6204FE00"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2.424</w:t>
            </w:r>
          </w:p>
        </w:tc>
        <w:tc>
          <w:tcPr>
            <w:tcW w:w="1420" w:type="dxa"/>
            <w:tcBorders>
              <w:top w:val="nil"/>
              <w:left w:val="nil"/>
              <w:bottom w:val="nil"/>
              <w:right w:val="nil"/>
            </w:tcBorders>
            <w:shd w:val="clear" w:color="auto" w:fill="auto"/>
            <w:noWrap/>
            <w:vAlign w:val="center"/>
            <w:hideMark/>
          </w:tcPr>
          <w:p w14:paraId="74911DE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2.075</w:t>
            </w:r>
          </w:p>
        </w:tc>
        <w:tc>
          <w:tcPr>
            <w:tcW w:w="1240" w:type="dxa"/>
            <w:tcBorders>
              <w:top w:val="nil"/>
              <w:left w:val="nil"/>
              <w:bottom w:val="nil"/>
              <w:right w:val="nil"/>
            </w:tcBorders>
            <w:shd w:val="clear" w:color="auto" w:fill="auto"/>
            <w:noWrap/>
            <w:vAlign w:val="center"/>
            <w:hideMark/>
          </w:tcPr>
          <w:p w14:paraId="7E349023"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w:t>
            </w:r>
          </w:p>
        </w:tc>
        <w:tc>
          <w:tcPr>
            <w:tcW w:w="1480" w:type="dxa"/>
            <w:tcBorders>
              <w:top w:val="nil"/>
              <w:left w:val="nil"/>
              <w:bottom w:val="nil"/>
              <w:right w:val="nil"/>
            </w:tcBorders>
            <w:shd w:val="clear" w:color="auto" w:fill="auto"/>
            <w:noWrap/>
            <w:vAlign w:val="center"/>
            <w:hideMark/>
          </w:tcPr>
          <w:p w14:paraId="418A8687"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75</w:t>
            </w:r>
          </w:p>
        </w:tc>
      </w:tr>
      <w:tr w:rsidR="00C243CD" w:rsidRPr="00B4077C" w14:paraId="79579648" w14:textId="77777777" w:rsidTr="00BF2BCA">
        <w:trPr>
          <w:trHeight w:val="300"/>
        </w:trPr>
        <w:tc>
          <w:tcPr>
            <w:tcW w:w="1540" w:type="dxa"/>
            <w:tcBorders>
              <w:top w:val="nil"/>
              <w:left w:val="nil"/>
              <w:bottom w:val="nil"/>
              <w:right w:val="nil"/>
            </w:tcBorders>
            <w:shd w:val="clear" w:color="auto" w:fill="auto"/>
            <w:noWrap/>
            <w:vAlign w:val="center"/>
            <w:hideMark/>
          </w:tcPr>
          <w:p w14:paraId="10ABCE81"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Svezia</w:t>
            </w:r>
          </w:p>
        </w:tc>
        <w:tc>
          <w:tcPr>
            <w:tcW w:w="1260" w:type="dxa"/>
            <w:tcBorders>
              <w:top w:val="nil"/>
              <w:left w:val="nil"/>
              <w:bottom w:val="nil"/>
              <w:right w:val="nil"/>
            </w:tcBorders>
            <w:shd w:val="clear" w:color="auto" w:fill="auto"/>
            <w:noWrap/>
            <w:vAlign w:val="center"/>
            <w:hideMark/>
          </w:tcPr>
          <w:p w14:paraId="2A1DF186"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10.327</w:t>
            </w:r>
          </w:p>
        </w:tc>
        <w:tc>
          <w:tcPr>
            <w:tcW w:w="1360" w:type="dxa"/>
            <w:tcBorders>
              <w:top w:val="nil"/>
              <w:left w:val="nil"/>
              <w:bottom w:val="nil"/>
              <w:right w:val="nil"/>
            </w:tcBorders>
            <w:shd w:val="clear" w:color="auto" w:fill="auto"/>
            <w:noWrap/>
            <w:vAlign w:val="center"/>
            <w:hideMark/>
          </w:tcPr>
          <w:p w14:paraId="59C7602B"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2.678</w:t>
            </w:r>
          </w:p>
        </w:tc>
        <w:tc>
          <w:tcPr>
            <w:tcW w:w="1240" w:type="dxa"/>
            <w:tcBorders>
              <w:top w:val="nil"/>
              <w:left w:val="nil"/>
              <w:bottom w:val="nil"/>
              <w:right w:val="nil"/>
            </w:tcBorders>
            <w:shd w:val="clear" w:color="auto" w:fill="auto"/>
            <w:noWrap/>
            <w:vAlign w:val="center"/>
            <w:hideMark/>
          </w:tcPr>
          <w:p w14:paraId="50C13E31"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2.066</w:t>
            </w:r>
          </w:p>
        </w:tc>
        <w:tc>
          <w:tcPr>
            <w:tcW w:w="1420" w:type="dxa"/>
            <w:tcBorders>
              <w:top w:val="nil"/>
              <w:left w:val="nil"/>
              <w:bottom w:val="nil"/>
              <w:right w:val="nil"/>
            </w:tcBorders>
            <w:shd w:val="clear" w:color="auto" w:fill="auto"/>
            <w:noWrap/>
            <w:vAlign w:val="center"/>
            <w:hideMark/>
          </w:tcPr>
          <w:p w14:paraId="207BBF36"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1746</w:t>
            </w:r>
          </w:p>
        </w:tc>
        <w:tc>
          <w:tcPr>
            <w:tcW w:w="1240" w:type="dxa"/>
            <w:tcBorders>
              <w:top w:val="nil"/>
              <w:left w:val="nil"/>
              <w:bottom w:val="nil"/>
              <w:right w:val="nil"/>
            </w:tcBorders>
            <w:shd w:val="clear" w:color="auto" w:fill="auto"/>
            <w:noWrap/>
            <w:vAlign w:val="center"/>
            <w:hideMark/>
          </w:tcPr>
          <w:p w14:paraId="46633330"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64</w:t>
            </w:r>
          </w:p>
        </w:tc>
        <w:tc>
          <w:tcPr>
            <w:tcW w:w="1480" w:type="dxa"/>
            <w:tcBorders>
              <w:top w:val="nil"/>
              <w:left w:val="nil"/>
              <w:bottom w:val="nil"/>
              <w:right w:val="nil"/>
            </w:tcBorders>
            <w:shd w:val="clear" w:color="auto" w:fill="auto"/>
            <w:noWrap/>
            <w:vAlign w:val="center"/>
            <w:hideMark/>
          </w:tcPr>
          <w:p w14:paraId="66AF9798"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68</w:t>
            </w:r>
          </w:p>
        </w:tc>
      </w:tr>
      <w:tr w:rsidR="00C243CD" w:rsidRPr="00B4077C" w14:paraId="4FF59F19" w14:textId="77777777" w:rsidTr="00BF2BCA">
        <w:trPr>
          <w:trHeight w:val="300"/>
        </w:trPr>
        <w:tc>
          <w:tcPr>
            <w:tcW w:w="1540" w:type="dxa"/>
            <w:tcBorders>
              <w:top w:val="nil"/>
              <w:left w:val="nil"/>
              <w:bottom w:val="nil"/>
              <w:right w:val="nil"/>
            </w:tcBorders>
            <w:shd w:val="clear" w:color="auto" w:fill="auto"/>
            <w:noWrap/>
            <w:vAlign w:val="center"/>
            <w:hideMark/>
          </w:tcPr>
          <w:p w14:paraId="302D2FDC"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Svizzera</w:t>
            </w:r>
          </w:p>
        </w:tc>
        <w:tc>
          <w:tcPr>
            <w:tcW w:w="1260" w:type="dxa"/>
            <w:tcBorders>
              <w:top w:val="nil"/>
              <w:left w:val="nil"/>
              <w:bottom w:val="nil"/>
              <w:right w:val="nil"/>
            </w:tcBorders>
            <w:shd w:val="clear" w:color="auto" w:fill="auto"/>
            <w:noWrap/>
            <w:vAlign w:val="center"/>
            <w:hideMark/>
          </w:tcPr>
          <w:p w14:paraId="5091CD62"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8.419</w:t>
            </w:r>
          </w:p>
        </w:tc>
        <w:tc>
          <w:tcPr>
            <w:tcW w:w="1360" w:type="dxa"/>
            <w:tcBorders>
              <w:top w:val="nil"/>
              <w:left w:val="nil"/>
              <w:bottom w:val="nil"/>
              <w:right w:val="nil"/>
            </w:tcBorders>
            <w:shd w:val="clear" w:color="auto" w:fill="auto"/>
            <w:noWrap/>
            <w:vAlign w:val="center"/>
            <w:hideMark/>
          </w:tcPr>
          <w:p w14:paraId="048106DE"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3.293</w:t>
            </w:r>
          </w:p>
        </w:tc>
        <w:tc>
          <w:tcPr>
            <w:tcW w:w="1240" w:type="dxa"/>
            <w:tcBorders>
              <w:top w:val="nil"/>
              <w:left w:val="nil"/>
              <w:bottom w:val="nil"/>
              <w:right w:val="nil"/>
            </w:tcBorders>
            <w:shd w:val="clear" w:color="auto" w:fill="auto"/>
            <w:noWrap/>
            <w:vAlign w:val="center"/>
            <w:hideMark/>
          </w:tcPr>
          <w:p w14:paraId="64F11317"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1.382</w:t>
            </w:r>
          </w:p>
        </w:tc>
        <w:tc>
          <w:tcPr>
            <w:tcW w:w="1420" w:type="dxa"/>
            <w:tcBorders>
              <w:top w:val="nil"/>
              <w:left w:val="nil"/>
              <w:bottom w:val="nil"/>
              <w:right w:val="nil"/>
            </w:tcBorders>
            <w:shd w:val="clear" w:color="auto" w:fill="auto"/>
            <w:noWrap/>
            <w:vAlign w:val="center"/>
            <w:hideMark/>
          </w:tcPr>
          <w:p w14:paraId="0F764C26"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1.388</w:t>
            </w:r>
          </w:p>
        </w:tc>
        <w:tc>
          <w:tcPr>
            <w:tcW w:w="1240" w:type="dxa"/>
            <w:tcBorders>
              <w:top w:val="nil"/>
              <w:left w:val="nil"/>
              <w:bottom w:val="nil"/>
              <w:right w:val="nil"/>
            </w:tcBorders>
            <w:shd w:val="clear" w:color="auto" w:fill="auto"/>
            <w:noWrap/>
            <w:vAlign w:val="center"/>
            <w:hideMark/>
          </w:tcPr>
          <w:p w14:paraId="48540BC5"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59</w:t>
            </w:r>
          </w:p>
        </w:tc>
        <w:tc>
          <w:tcPr>
            <w:tcW w:w="1480" w:type="dxa"/>
            <w:tcBorders>
              <w:top w:val="nil"/>
              <w:left w:val="nil"/>
              <w:bottom w:val="nil"/>
              <w:right w:val="nil"/>
            </w:tcBorders>
            <w:shd w:val="clear" w:color="auto" w:fill="auto"/>
            <w:noWrap/>
            <w:vAlign w:val="center"/>
            <w:hideMark/>
          </w:tcPr>
          <w:p w14:paraId="5B5466B9"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40</w:t>
            </w:r>
          </w:p>
        </w:tc>
      </w:tr>
      <w:tr w:rsidR="00C243CD" w:rsidRPr="00B4077C" w14:paraId="6F26B619" w14:textId="77777777" w:rsidTr="00BF2BCA">
        <w:trPr>
          <w:trHeight w:val="315"/>
        </w:trPr>
        <w:tc>
          <w:tcPr>
            <w:tcW w:w="1540" w:type="dxa"/>
            <w:tcBorders>
              <w:top w:val="nil"/>
              <w:left w:val="nil"/>
              <w:bottom w:val="nil"/>
              <w:right w:val="nil"/>
            </w:tcBorders>
            <w:shd w:val="clear" w:color="auto" w:fill="auto"/>
            <w:noWrap/>
            <w:vAlign w:val="center"/>
            <w:hideMark/>
          </w:tcPr>
          <w:p w14:paraId="1CE55E65" w14:textId="77777777" w:rsidR="00C243CD" w:rsidRPr="00B4077C" w:rsidRDefault="00C243CD" w:rsidP="00056DFC">
            <w:pPr>
              <w:spacing w:after="0" w:line="240" w:lineRule="auto"/>
              <w:rPr>
                <w:rFonts w:eastAsia="Times New Roman" w:cstheme="minorHAnsi"/>
                <w:sz w:val="20"/>
                <w:szCs w:val="20"/>
                <w:lang w:eastAsia="it-IT"/>
              </w:rPr>
            </w:pPr>
            <w:r w:rsidRPr="00B4077C">
              <w:rPr>
                <w:rFonts w:eastAsia="Times New Roman" w:cstheme="minorHAnsi"/>
                <w:sz w:val="20"/>
                <w:szCs w:val="20"/>
                <w:lang w:eastAsia="it-IT"/>
              </w:rPr>
              <w:t>Ungheria</w:t>
            </w:r>
          </w:p>
        </w:tc>
        <w:tc>
          <w:tcPr>
            <w:tcW w:w="1260" w:type="dxa"/>
            <w:tcBorders>
              <w:top w:val="nil"/>
              <w:left w:val="nil"/>
              <w:bottom w:val="nil"/>
              <w:right w:val="nil"/>
            </w:tcBorders>
            <w:shd w:val="clear" w:color="auto" w:fill="auto"/>
            <w:noWrap/>
            <w:vAlign w:val="center"/>
            <w:hideMark/>
          </w:tcPr>
          <w:p w14:paraId="26631A24"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9.797</w:t>
            </w:r>
          </w:p>
        </w:tc>
        <w:tc>
          <w:tcPr>
            <w:tcW w:w="1360" w:type="dxa"/>
            <w:tcBorders>
              <w:top w:val="nil"/>
              <w:left w:val="nil"/>
              <w:bottom w:val="nil"/>
              <w:right w:val="nil"/>
            </w:tcBorders>
            <w:shd w:val="clear" w:color="auto" w:fill="auto"/>
            <w:noWrap/>
            <w:vAlign w:val="center"/>
            <w:hideMark/>
          </w:tcPr>
          <w:p w14:paraId="42EE9B90"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2.015</w:t>
            </w:r>
          </w:p>
        </w:tc>
        <w:tc>
          <w:tcPr>
            <w:tcW w:w="1240" w:type="dxa"/>
            <w:tcBorders>
              <w:top w:val="nil"/>
              <w:left w:val="nil"/>
              <w:bottom w:val="nil"/>
              <w:right w:val="nil"/>
            </w:tcBorders>
            <w:shd w:val="clear" w:color="auto" w:fill="auto"/>
            <w:noWrap/>
            <w:vAlign w:val="center"/>
            <w:hideMark/>
          </w:tcPr>
          <w:p w14:paraId="56D2BDE6"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2.812</w:t>
            </w:r>
          </w:p>
        </w:tc>
        <w:tc>
          <w:tcPr>
            <w:tcW w:w="1420" w:type="dxa"/>
            <w:tcBorders>
              <w:top w:val="nil"/>
              <w:left w:val="nil"/>
              <w:bottom w:val="nil"/>
              <w:right w:val="nil"/>
            </w:tcBorders>
            <w:shd w:val="clear" w:color="auto" w:fill="auto"/>
            <w:noWrap/>
            <w:vAlign w:val="center"/>
            <w:hideMark/>
          </w:tcPr>
          <w:p w14:paraId="6DCC118B"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1.821</w:t>
            </w:r>
          </w:p>
        </w:tc>
        <w:tc>
          <w:tcPr>
            <w:tcW w:w="1240" w:type="dxa"/>
            <w:tcBorders>
              <w:top w:val="nil"/>
              <w:left w:val="nil"/>
              <w:bottom w:val="nil"/>
              <w:right w:val="nil"/>
            </w:tcBorders>
            <w:shd w:val="clear" w:color="auto" w:fill="auto"/>
            <w:noWrap/>
            <w:vAlign w:val="center"/>
            <w:hideMark/>
          </w:tcPr>
          <w:p w14:paraId="48C9FE67"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2</w:t>
            </w:r>
          </w:p>
        </w:tc>
        <w:tc>
          <w:tcPr>
            <w:tcW w:w="1480" w:type="dxa"/>
            <w:tcBorders>
              <w:top w:val="nil"/>
              <w:left w:val="nil"/>
              <w:bottom w:val="nil"/>
              <w:right w:val="nil"/>
            </w:tcBorders>
            <w:shd w:val="clear" w:color="auto" w:fill="auto"/>
            <w:noWrap/>
            <w:vAlign w:val="center"/>
            <w:hideMark/>
          </w:tcPr>
          <w:p w14:paraId="08318778" w14:textId="77777777" w:rsidR="00C243CD" w:rsidRPr="00B4077C" w:rsidRDefault="00C243CD" w:rsidP="00056DFC">
            <w:pPr>
              <w:spacing w:after="0" w:line="240" w:lineRule="auto"/>
              <w:jc w:val="center"/>
              <w:rPr>
                <w:rFonts w:eastAsia="Times New Roman" w:cstheme="minorHAnsi"/>
                <w:sz w:val="20"/>
                <w:szCs w:val="20"/>
                <w:lang w:eastAsia="it-IT"/>
              </w:rPr>
            </w:pPr>
            <w:r w:rsidRPr="00B4077C">
              <w:rPr>
                <w:rFonts w:eastAsia="Times New Roman" w:cstheme="minorHAnsi"/>
                <w:sz w:val="20"/>
                <w:szCs w:val="20"/>
                <w:lang w:eastAsia="it-IT"/>
              </w:rPr>
              <w:t>60</w:t>
            </w:r>
          </w:p>
        </w:tc>
      </w:tr>
      <w:tr w:rsidR="00C243CD" w:rsidRPr="00B4077C" w14:paraId="2D0CFA66" w14:textId="77777777" w:rsidTr="00BF2BCA">
        <w:trPr>
          <w:trHeight w:val="300"/>
        </w:trPr>
        <w:tc>
          <w:tcPr>
            <w:tcW w:w="1540" w:type="dxa"/>
            <w:tcBorders>
              <w:top w:val="single" w:sz="8" w:space="0" w:color="auto"/>
              <w:left w:val="nil"/>
              <w:bottom w:val="nil"/>
              <w:right w:val="nil"/>
            </w:tcBorders>
            <w:shd w:val="clear" w:color="auto" w:fill="auto"/>
            <w:vAlign w:val="center"/>
            <w:hideMark/>
          </w:tcPr>
          <w:p w14:paraId="3B24BD11" w14:textId="77777777" w:rsidR="00C243CD" w:rsidRPr="00B4077C" w:rsidRDefault="00C243CD" w:rsidP="00056DFC">
            <w:pPr>
              <w:spacing w:after="0" w:line="240" w:lineRule="auto"/>
              <w:rPr>
                <w:rFonts w:eastAsia="Times New Roman" w:cstheme="minorHAnsi"/>
                <w:b/>
                <w:bCs/>
                <w:sz w:val="20"/>
                <w:szCs w:val="20"/>
                <w:lang w:eastAsia="it-IT"/>
              </w:rPr>
            </w:pPr>
            <w:r w:rsidRPr="00B4077C">
              <w:rPr>
                <w:rFonts w:eastAsia="Times New Roman" w:cstheme="minorHAnsi"/>
                <w:b/>
                <w:bCs/>
                <w:sz w:val="20"/>
                <w:szCs w:val="20"/>
                <w:lang w:eastAsia="it-IT"/>
              </w:rPr>
              <w:t>Media</w:t>
            </w:r>
          </w:p>
        </w:tc>
        <w:tc>
          <w:tcPr>
            <w:tcW w:w="1260" w:type="dxa"/>
            <w:vMerge w:val="restart"/>
            <w:tcBorders>
              <w:top w:val="single" w:sz="8" w:space="0" w:color="auto"/>
              <w:left w:val="nil"/>
              <w:bottom w:val="single" w:sz="8" w:space="0" w:color="000000"/>
              <w:right w:val="nil"/>
            </w:tcBorders>
            <w:shd w:val="clear" w:color="auto" w:fill="auto"/>
            <w:noWrap/>
            <w:vAlign w:val="center"/>
            <w:hideMark/>
          </w:tcPr>
          <w:p w14:paraId="0B7602E1"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27.336</w:t>
            </w:r>
          </w:p>
        </w:tc>
        <w:tc>
          <w:tcPr>
            <w:tcW w:w="1360" w:type="dxa"/>
            <w:vMerge w:val="restart"/>
            <w:tcBorders>
              <w:top w:val="single" w:sz="8" w:space="0" w:color="auto"/>
              <w:left w:val="nil"/>
              <w:bottom w:val="single" w:sz="8" w:space="0" w:color="000000"/>
              <w:right w:val="nil"/>
            </w:tcBorders>
            <w:shd w:val="clear" w:color="auto" w:fill="auto"/>
            <w:noWrap/>
            <w:vAlign w:val="center"/>
            <w:hideMark/>
          </w:tcPr>
          <w:p w14:paraId="49593313"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5.762</w:t>
            </w:r>
          </w:p>
        </w:tc>
        <w:tc>
          <w:tcPr>
            <w:tcW w:w="1240" w:type="dxa"/>
            <w:vMerge w:val="restart"/>
            <w:tcBorders>
              <w:top w:val="single" w:sz="8" w:space="0" w:color="auto"/>
              <w:left w:val="nil"/>
              <w:bottom w:val="single" w:sz="8" w:space="0" w:color="000000"/>
              <w:right w:val="nil"/>
            </w:tcBorders>
            <w:shd w:val="clear" w:color="auto" w:fill="auto"/>
            <w:noWrap/>
            <w:vAlign w:val="center"/>
            <w:hideMark/>
          </w:tcPr>
          <w:p w14:paraId="7E0948B9"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2.490</w:t>
            </w:r>
          </w:p>
        </w:tc>
        <w:tc>
          <w:tcPr>
            <w:tcW w:w="1420" w:type="dxa"/>
            <w:vMerge w:val="restart"/>
            <w:tcBorders>
              <w:top w:val="single" w:sz="8" w:space="0" w:color="auto"/>
              <w:left w:val="nil"/>
              <w:bottom w:val="single" w:sz="8" w:space="0" w:color="000000"/>
              <w:right w:val="nil"/>
            </w:tcBorders>
            <w:shd w:val="clear" w:color="auto" w:fill="auto"/>
            <w:noWrap/>
            <w:vAlign w:val="center"/>
            <w:hideMark/>
          </w:tcPr>
          <w:p w14:paraId="4537E5D5"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2089</w:t>
            </w:r>
          </w:p>
        </w:tc>
        <w:tc>
          <w:tcPr>
            <w:tcW w:w="1240" w:type="dxa"/>
            <w:vMerge w:val="restart"/>
            <w:tcBorders>
              <w:top w:val="single" w:sz="8" w:space="0" w:color="auto"/>
              <w:left w:val="nil"/>
              <w:bottom w:val="single" w:sz="8" w:space="0" w:color="000000"/>
              <w:right w:val="nil"/>
            </w:tcBorders>
            <w:shd w:val="clear" w:color="auto" w:fill="auto"/>
            <w:noWrap/>
            <w:vAlign w:val="center"/>
            <w:hideMark/>
          </w:tcPr>
          <w:p w14:paraId="0C78E357"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33</w:t>
            </w:r>
          </w:p>
        </w:tc>
        <w:tc>
          <w:tcPr>
            <w:tcW w:w="1480" w:type="dxa"/>
            <w:vMerge w:val="restart"/>
            <w:tcBorders>
              <w:top w:val="single" w:sz="8" w:space="0" w:color="auto"/>
              <w:left w:val="nil"/>
              <w:bottom w:val="single" w:sz="8" w:space="0" w:color="000000"/>
              <w:right w:val="nil"/>
            </w:tcBorders>
            <w:shd w:val="clear" w:color="auto" w:fill="auto"/>
            <w:noWrap/>
            <w:vAlign w:val="center"/>
            <w:hideMark/>
          </w:tcPr>
          <w:p w14:paraId="14B6349C" w14:textId="77777777" w:rsidR="00C243CD" w:rsidRPr="00B4077C" w:rsidRDefault="00C243CD" w:rsidP="00056DFC">
            <w:pPr>
              <w:spacing w:after="0" w:line="240" w:lineRule="auto"/>
              <w:jc w:val="center"/>
              <w:rPr>
                <w:rFonts w:eastAsia="Times New Roman" w:cstheme="minorHAnsi"/>
                <w:b/>
                <w:bCs/>
                <w:sz w:val="20"/>
                <w:szCs w:val="20"/>
                <w:lang w:eastAsia="it-IT"/>
              </w:rPr>
            </w:pPr>
            <w:r w:rsidRPr="00B4077C">
              <w:rPr>
                <w:rFonts w:eastAsia="Times New Roman" w:cstheme="minorHAnsi"/>
                <w:b/>
                <w:bCs/>
                <w:sz w:val="20"/>
                <w:szCs w:val="20"/>
                <w:lang w:eastAsia="it-IT"/>
              </w:rPr>
              <w:t>72</w:t>
            </w:r>
          </w:p>
        </w:tc>
      </w:tr>
      <w:tr w:rsidR="00C243CD" w:rsidRPr="00B4077C" w14:paraId="6EABD241" w14:textId="77777777" w:rsidTr="00BF2BCA">
        <w:trPr>
          <w:trHeight w:val="315"/>
        </w:trPr>
        <w:tc>
          <w:tcPr>
            <w:tcW w:w="1540" w:type="dxa"/>
            <w:tcBorders>
              <w:top w:val="nil"/>
              <w:left w:val="nil"/>
              <w:bottom w:val="single" w:sz="8" w:space="0" w:color="auto"/>
              <w:right w:val="nil"/>
            </w:tcBorders>
            <w:shd w:val="clear" w:color="auto" w:fill="auto"/>
            <w:vAlign w:val="center"/>
            <w:hideMark/>
          </w:tcPr>
          <w:p w14:paraId="65EED798" w14:textId="77777777" w:rsidR="00C243CD" w:rsidRPr="00B4077C" w:rsidRDefault="00C243CD" w:rsidP="00056DFC">
            <w:pPr>
              <w:spacing w:after="0" w:line="240" w:lineRule="auto"/>
              <w:rPr>
                <w:rFonts w:eastAsia="Times New Roman" w:cstheme="minorHAnsi"/>
                <w:b/>
                <w:bCs/>
                <w:sz w:val="20"/>
                <w:szCs w:val="20"/>
                <w:lang w:eastAsia="it-IT"/>
              </w:rPr>
            </w:pPr>
            <w:r w:rsidRPr="00B4077C">
              <w:rPr>
                <w:rFonts w:eastAsia="Times New Roman" w:cstheme="minorHAnsi"/>
                <w:b/>
                <w:bCs/>
                <w:sz w:val="20"/>
                <w:szCs w:val="20"/>
                <w:lang w:eastAsia="it-IT"/>
              </w:rPr>
              <w:t>esclusa Italia</w:t>
            </w:r>
          </w:p>
        </w:tc>
        <w:tc>
          <w:tcPr>
            <w:tcW w:w="1260" w:type="dxa"/>
            <w:vMerge/>
            <w:tcBorders>
              <w:top w:val="single" w:sz="8" w:space="0" w:color="auto"/>
              <w:left w:val="nil"/>
              <w:bottom w:val="single" w:sz="8" w:space="0" w:color="000000"/>
              <w:right w:val="nil"/>
            </w:tcBorders>
            <w:vAlign w:val="center"/>
            <w:hideMark/>
          </w:tcPr>
          <w:p w14:paraId="16D1D96F" w14:textId="77777777" w:rsidR="00C243CD" w:rsidRPr="00B4077C" w:rsidRDefault="00C243CD" w:rsidP="00056DFC">
            <w:pPr>
              <w:spacing w:after="0" w:line="240" w:lineRule="auto"/>
              <w:rPr>
                <w:rFonts w:eastAsia="Times New Roman" w:cstheme="minorHAnsi"/>
                <w:b/>
                <w:bCs/>
                <w:sz w:val="20"/>
                <w:szCs w:val="20"/>
                <w:lang w:eastAsia="it-IT"/>
              </w:rPr>
            </w:pPr>
          </w:p>
        </w:tc>
        <w:tc>
          <w:tcPr>
            <w:tcW w:w="1360" w:type="dxa"/>
            <w:vMerge/>
            <w:tcBorders>
              <w:top w:val="single" w:sz="8" w:space="0" w:color="auto"/>
              <w:left w:val="nil"/>
              <w:bottom w:val="single" w:sz="8" w:space="0" w:color="000000"/>
              <w:right w:val="nil"/>
            </w:tcBorders>
            <w:vAlign w:val="center"/>
            <w:hideMark/>
          </w:tcPr>
          <w:p w14:paraId="0B8F2A6E" w14:textId="77777777" w:rsidR="00C243CD" w:rsidRPr="00B4077C" w:rsidRDefault="00C243CD" w:rsidP="00056DFC">
            <w:pPr>
              <w:spacing w:after="0" w:line="240" w:lineRule="auto"/>
              <w:rPr>
                <w:rFonts w:eastAsia="Times New Roman" w:cstheme="minorHAnsi"/>
                <w:b/>
                <w:bCs/>
                <w:sz w:val="20"/>
                <w:szCs w:val="20"/>
                <w:lang w:eastAsia="it-IT"/>
              </w:rPr>
            </w:pPr>
          </w:p>
        </w:tc>
        <w:tc>
          <w:tcPr>
            <w:tcW w:w="1240" w:type="dxa"/>
            <w:vMerge/>
            <w:tcBorders>
              <w:top w:val="single" w:sz="8" w:space="0" w:color="auto"/>
              <w:left w:val="nil"/>
              <w:bottom w:val="single" w:sz="8" w:space="0" w:color="000000"/>
              <w:right w:val="nil"/>
            </w:tcBorders>
            <w:vAlign w:val="center"/>
            <w:hideMark/>
          </w:tcPr>
          <w:p w14:paraId="0E5B6CCB" w14:textId="77777777" w:rsidR="00C243CD" w:rsidRPr="00B4077C" w:rsidRDefault="00C243CD" w:rsidP="00056DFC">
            <w:pPr>
              <w:spacing w:after="0" w:line="240" w:lineRule="auto"/>
              <w:rPr>
                <w:rFonts w:eastAsia="Times New Roman" w:cstheme="minorHAnsi"/>
                <w:b/>
                <w:bCs/>
                <w:sz w:val="20"/>
                <w:szCs w:val="20"/>
                <w:lang w:eastAsia="it-IT"/>
              </w:rPr>
            </w:pPr>
          </w:p>
        </w:tc>
        <w:tc>
          <w:tcPr>
            <w:tcW w:w="1420" w:type="dxa"/>
            <w:vMerge/>
            <w:tcBorders>
              <w:top w:val="single" w:sz="8" w:space="0" w:color="auto"/>
              <w:left w:val="nil"/>
              <w:bottom w:val="single" w:sz="8" w:space="0" w:color="000000"/>
              <w:right w:val="nil"/>
            </w:tcBorders>
            <w:vAlign w:val="center"/>
            <w:hideMark/>
          </w:tcPr>
          <w:p w14:paraId="64696F60" w14:textId="77777777" w:rsidR="00C243CD" w:rsidRPr="00B4077C" w:rsidRDefault="00C243CD" w:rsidP="00056DFC">
            <w:pPr>
              <w:spacing w:after="0" w:line="240" w:lineRule="auto"/>
              <w:rPr>
                <w:rFonts w:eastAsia="Times New Roman" w:cstheme="minorHAnsi"/>
                <w:b/>
                <w:bCs/>
                <w:sz w:val="20"/>
                <w:szCs w:val="20"/>
                <w:lang w:eastAsia="it-IT"/>
              </w:rPr>
            </w:pPr>
          </w:p>
        </w:tc>
        <w:tc>
          <w:tcPr>
            <w:tcW w:w="1240" w:type="dxa"/>
            <w:vMerge/>
            <w:tcBorders>
              <w:top w:val="single" w:sz="8" w:space="0" w:color="auto"/>
              <w:left w:val="nil"/>
              <w:bottom w:val="single" w:sz="8" w:space="0" w:color="000000"/>
              <w:right w:val="nil"/>
            </w:tcBorders>
            <w:vAlign w:val="center"/>
            <w:hideMark/>
          </w:tcPr>
          <w:p w14:paraId="3BE2A897" w14:textId="77777777" w:rsidR="00C243CD" w:rsidRPr="00B4077C" w:rsidRDefault="00C243CD" w:rsidP="00056DFC">
            <w:pPr>
              <w:spacing w:after="0" w:line="240" w:lineRule="auto"/>
              <w:rPr>
                <w:rFonts w:eastAsia="Times New Roman" w:cstheme="minorHAnsi"/>
                <w:b/>
                <w:bCs/>
                <w:sz w:val="20"/>
                <w:szCs w:val="20"/>
                <w:lang w:eastAsia="it-IT"/>
              </w:rPr>
            </w:pPr>
          </w:p>
        </w:tc>
        <w:tc>
          <w:tcPr>
            <w:tcW w:w="1480" w:type="dxa"/>
            <w:vMerge/>
            <w:tcBorders>
              <w:top w:val="single" w:sz="8" w:space="0" w:color="auto"/>
              <w:left w:val="nil"/>
              <w:bottom w:val="single" w:sz="8" w:space="0" w:color="000000"/>
              <w:right w:val="nil"/>
            </w:tcBorders>
            <w:vAlign w:val="center"/>
            <w:hideMark/>
          </w:tcPr>
          <w:p w14:paraId="016A8638" w14:textId="77777777" w:rsidR="00C243CD" w:rsidRPr="00B4077C" w:rsidRDefault="00C243CD" w:rsidP="00056DFC">
            <w:pPr>
              <w:spacing w:after="0" w:line="240" w:lineRule="auto"/>
              <w:rPr>
                <w:rFonts w:eastAsia="Times New Roman" w:cstheme="minorHAnsi"/>
                <w:b/>
                <w:bCs/>
                <w:sz w:val="20"/>
                <w:szCs w:val="20"/>
                <w:lang w:eastAsia="it-IT"/>
              </w:rPr>
            </w:pPr>
          </w:p>
        </w:tc>
      </w:tr>
    </w:tbl>
    <w:p w14:paraId="50AE057E" w14:textId="77777777" w:rsidR="00C243CD" w:rsidRPr="00B4077C" w:rsidRDefault="00C243CD" w:rsidP="00056DFC">
      <w:pPr>
        <w:spacing w:after="0" w:line="240" w:lineRule="auto"/>
        <w:jc w:val="both"/>
        <w:rPr>
          <w:rFonts w:cstheme="minorHAnsi"/>
          <w:sz w:val="20"/>
          <w:szCs w:val="20"/>
        </w:rPr>
      </w:pPr>
      <w:r w:rsidRPr="00B4077C">
        <w:rPr>
          <w:rFonts w:cstheme="minorHAnsi"/>
          <w:sz w:val="20"/>
          <w:szCs w:val="20"/>
        </w:rPr>
        <w:t>Fonte: Elaborazioni FAIB Confesercenti su dati MIMIT, Unione Petrolifera Statistiche 2020; Relazione Annuale 2022</w:t>
      </w:r>
    </w:p>
    <w:bookmarkEnd w:id="1"/>
    <w:p w14:paraId="2AF203A2" w14:textId="77777777" w:rsidR="00C243CD" w:rsidRPr="00B4077C" w:rsidRDefault="00C243CD" w:rsidP="00056DFC">
      <w:pPr>
        <w:spacing w:line="240" w:lineRule="auto"/>
        <w:rPr>
          <w:rFonts w:cstheme="minorHAnsi"/>
          <w:b/>
          <w:bCs/>
        </w:rPr>
      </w:pPr>
    </w:p>
    <w:p w14:paraId="731D1730" w14:textId="1D0B4F4A" w:rsidR="00803B4F" w:rsidRPr="00165A5D" w:rsidRDefault="00056DFC" w:rsidP="000511EA">
      <w:pPr>
        <w:tabs>
          <w:tab w:val="left" w:pos="2000"/>
        </w:tabs>
        <w:spacing w:after="120"/>
        <w:rPr>
          <w:rFonts w:cstheme="minorHAnsi"/>
          <w:b/>
          <w:bCs/>
          <w:color w:val="000000" w:themeColor="text1"/>
        </w:rPr>
      </w:pPr>
      <w:r w:rsidRPr="00165A5D">
        <w:rPr>
          <w:rFonts w:cstheme="minorHAnsi"/>
          <w:b/>
          <w:bCs/>
          <w:color w:val="000000" w:themeColor="text1"/>
        </w:rPr>
        <w:lastRenderedPageBreak/>
        <w:t>L</w:t>
      </w:r>
      <w:r w:rsidR="00803B4F" w:rsidRPr="00165A5D">
        <w:rPr>
          <w:rFonts w:cstheme="minorHAnsi"/>
          <w:b/>
          <w:bCs/>
          <w:color w:val="000000" w:themeColor="text1"/>
        </w:rPr>
        <w:t>e proposte Faib</w:t>
      </w:r>
      <w:r w:rsidRPr="00165A5D">
        <w:rPr>
          <w:rFonts w:cstheme="minorHAnsi"/>
          <w:b/>
          <w:bCs/>
          <w:color w:val="000000" w:themeColor="text1"/>
        </w:rPr>
        <w:t xml:space="preserve"> per la m</w:t>
      </w:r>
      <w:r w:rsidR="00803B4F" w:rsidRPr="00165A5D">
        <w:rPr>
          <w:rFonts w:cstheme="minorHAnsi"/>
          <w:b/>
          <w:bCs/>
          <w:color w:val="000000" w:themeColor="text1"/>
        </w:rPr>
        <w:t xml:space="preserve">odernizzazione </w:t>
      </w:r>
      <w:r w:rsidRPr="00165A5D">
        <w:rPr>
          <w:rFonts w:cstheme="minorHAnsi"/>
          <w:b/>
          <w:bCs/>
          <w:color w:val="000000" w:themeColor="text1"/>
        </w:rPr>
        <w:t xml:space="preserve">e riqualificazione </w:t>
      </w:r>
      <w:r w:rsidR="00803B4F" w:rsidRPr="00165A5D">
        <w:rPr>
          <w:rFonts w:cstheme="minorHAnsi"/>
          <w:b/>
          <w:bCs/>
          <w:color w:val="000000" w:themeColor="text1"/>
        </w:rPr>
        <w:t>della rete</w:t>
      </w:r>
    </w:p>
    <w:p w14:paraId="71CD6CC7" w14:textId="236A1E8C"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Faib ritiene che si renda necessario </w:t>
      </w:r>
      <w:r w:rsidRPr="00165A5D">
        <w:rPr>
          <w:rFonts w:cstheme="minorHAnsi"/>
          <w:b/>
          <w:bCs/>
          <w:color w:val="000000" w:themeColor="text1"/>
        </w:rPr>
        <w:t>un intervento legislativo sulla rete per la sua modernizzazione e riqualificazione</w:t>
      </w:r>
      <w:r w:rsidRPr="00165A5D">
        <w:rPr>
          <w:rFonts w:cstheme="minorHAnsi"/>
          <w:color w:val="000000" w:themeColor="text1"/>
        </w:rPr>
        <w:t>, incardinando le nuove disposizioni nella duplice ottica della creazione di “Punti Vendita Energie per la Mobilità” e della “Transizione energetica e digitale.” Tale riforma si rende necessaria anche per un’indilazionabile esigenza di contrasto alla doppia illegalità - fiscale e contrattuale - che imperversa sulla rete.</w:t>
      </w:r>
      <w:r w:rsidRPr="00165A5D">
        <w:rPr>
          <w:rFonts w:cstheme="minorHAnsi"/>
          <w:i/>
          <w:color w:val="000000" w:themeColor="text1"/>
        </w:rPr>
        <w:t xml:space="preserve"> </w:t>
      </w:r>
      <w:r w:rsidRPr="00165A5D">
        <w:rPr>
          <w:rFonts w:cstheme="minorHAnsi"/>
          <w:color w:val="000000" w:themeColor="text1"/>
        </w:rPr>
        <w:t>Questo obiettivo deve essere raggiunto attraverso il coinvolgimento delle parti della filiera rappresentative e sottoscrittrici degli accordi e delle intese di settore.</w:t>
      </w:r>
    </w:p>
    <w:p w14:paraId="1A8B9A22" w14:textId="2193B469" w:rsidR="000511EA" w:rsidRPr="00165A5D" w:rsidRDefault="000511EA" w:rsidP="000511EA">
      <w:pPr>
        <w:tabs>
          <w:tab w:val="left" w:pos="2000"/>
        </w:tabs>
        <w:spacing w:after="120"/>
        <w:jc w:val="both"/>
        <w:rPr>
          <w:rFonts w:cstheme="minorHAnsi"/>
          <w:b/>
          <w:bCs/>
          <w:color w:val="000000" w:themeColor="text1"/>
        </w:rPr>
      </w:pPr>
      <w:r w:rsidRPr="00165A5D">
        <w:rPr>
          <w:rFonts w:cstheme="minorHAnsi"/>
          <w:b/>
          <w:bCs/>
          <w:color w:val="000000" w:themeColor="text1"/>
        </w:rPr>
        <w:t>Contrasto all’illegalità contrattuale</w:t>
      </w:r>
    </w:p>
    <w:p w14:paraId="73AF933B" w14:textId="27D6CA77" w:rsidR="000511EA" w:rsidRPr="00165A5D" w:rsidRDefault="000511EA" w:rsidP="000511EA">
      <w:pPr>
        <w:spacing w:after="120"/>
        <w:jc w:val="both"/>
        <w:rPr>
          <w:color w:val="000000"/>
        </w:rPr>
      </w:pPr>
      <w:r w:rsidRPr="00165A5D">
        <w:rPr>
          <w:color w:val="000000"/>
        </w:rPr>
        <w:t xml:space="preserve">La modernizzazione della rete non può prescindere dal contrasto all’illegalità contrattuale che imperversa sulla </w:t>
      </w:r>
      <w:r w:rsidR="006F5A40">
        <w:rPr>
          <w:color w:val="000000"/>
        </w:rPr>
        <w:t>stessa</w:t>
      </w:r>
      <w:r w:rsidRPr="00165A5D">
        <w:rPr>
          <w:color w:val="000000"/>
        </w:rPr>
        <w:t xml:space="preserve">. Circa 1 impianto su 2 non è regolarizzato da un contratto e vive nell’illegalità. Questo perché gli accordi sono stati stilati soltanto con ENI, IP, Q8 e EG. Gli altri punti vendita ricorrono a diverse forme contrattuali e </w:t>
      </w:r>
      <w:r w:rsidR="006F5A40">
        <w:rPr>
          <w:color w:val="000000"/>
        </w:rPr>
        <w:t>condizioni</w:t>
      </w:r>
      <w:r w:rsidRPr="00165A5D">
        <w:rPr>
          <w:color w:val="000000"/>
        </w:rPr>
        <w:t xml:space="preserve"> economic</w:t>
      </w:r>
      <w:r w:rsidR="006F5A40">
        <w:rPr>
          <w:color w:val="000000"/>
        </w:rPr>
        <w:t xml:space="preserve">he </w:t>
      </w:r>
      <w:r w:rsidRPr="00165A5D">
        <w:rPr>
          <w:color w:val="000000"/>
        </w:rPr>
        <w:t>non negoziat</w:t>
      </w:r>
      <w:r w:rsidR="006F5A40">
        <w:rPr>
          <w:color w:val="000000"/>
        </w:rPr>
        <w:t>e</w:t>
      </w:r>
      <w:r w:rsidRPr="00165A5D">
        <w:rPr>
          <w:color w:val="000000"/>
        </w:rPr>
        <w:t xml:space="preserve"> con </w:t>
      </w:r>
      <w:r w:rsidR="006F5A40">
        <w:rPr>
          <w:color w:val="000000"/>
        </w:rPr>
        <w:t>le Associazioni sindacali dei gestori</w:t>
      </w:r>
      <w:r w:rsidRPr="00165A5D">
        <w:rPr>
          <w:color w:val="000000"/>
        </w:rPr>
        <w:t xml:space="preserve"> che assicurano illegittimi vantaggi competitivi ai titolari e determinano condizioni di gestione capestro con derive ascrivibili ad un vero e proprio caporalato.  </w:t>
      </w:r>
    </w:p>
    <w:p w14:paraId="6A51E4F5" w14:textId="54898CF5" w:rsidR="00FB2459" w:rsidRPr="00165A5D" w:rsidRDefault="000511EA" w:rsidP="000511EA">
      <w:pPr>
        <w:spacing w:after="120"/>
        <w:jc w:val="both"/>
        <w:rPr>
          <w:color w:val="000000"/>
        </w:rPr>
      </w:pPr>
      <w:r w:rsidRPr="00165A5D">
        <w:rPr>
          <w:color w:val="000000"/>
        </w:rPr>
        <w:t xml:space="preserve">La strutturazione della rete attuale e lo stesso quadro normativo portano con sé una pericolosa situazione di illegalità e di carenza di tutele per i gestori. In uno scenario con più di un migliaio di titolari e proprietari di impianti, con tanti marchi, i contenuti del D Lgs 32/1998, e della successiva legge 57/2001, pensati e varati in una fase storica dominata dalle grandi compagnie, risultano insufficienti, se non opportunamente implementati, a far fronte alle reali possibilità di governo del settore, per quanto riguarda la disciplina del profilo economico-contrattuale del rapporto tra gestori e titolari di autorizzazioni e il rispetto degli obiettivi posti dalla transizione. </w:t>
      </w:r>
    </w:p>
    <w:p w14:paraId="6330DC86" w14:textId="184D58BC" w:rsidR="000511EA" w:rsidRPr="00165A5D" w:rsidRDefault="000511EA" w:rsidP="000511EA">
      <w:pPr>
        <w:spacing w:after="120"/>
        <w:jc w:val="both"/>
        <w:rPr>
          <w:color w:val="000000"/>
        </w:rPr>
      </w:pPr>
      <w:r w:rsidRPr="00165A5D">
        <w:rPr>
          <w:color w:val="000000"/>
        </w:rPr>
        <w:t>Una cosa, infatti, era immaginare una regolamentazione di tali aspetti tra sei o sette soggetti titolari dell’intera rete e la rappresentanza dei gestori, com’era all’inizio del nuovo millennio; altra cosa è pensare che tale regolamentazione possa coinvolgere circa 1000 proprietari, alcuni intestatari di pochissimi impianti, i quali si trovano nella posizione di dover stipulare Accordi economici e normativi con le Organizzazioni nazionali maggiormente rappresentative dei gestori, com’è oggi per essere in regola con la normativa di settore.</w:t>
      </w:r>
    </w:p>
    <w:p w14:paraId="12D119BA" w14:textId="77777777" w:rsidR="000511EA" w:rsidRPr="00165A5D" w:rsidRDefault="000511EA" w:rsidP="000511EA">
      <w:pPr>
        <w:tabs>
          <w:tab w:val="left" w:pos="2000"/>
        </w:tabs>
        <w:spacing w:after="120"/>
        <w:jc w:val="both"/>
        <w:rPr>
          <w:rFonts w:cstheme="minorHAnsi"/>
          <w:b/>
          <w:bCs/>
          <w:color w:val="000000" w:themeColor="text1"/>
        </w:rPr>
      </w:pPr>
      <w:r w:rsidRPr="00165A5D">
        <w:rPr>
          <w:rFonts w:cstheme="minorHAnsi"/>
          <w:b/>
          <w:bCs/>
          <w:color w:val="000000" w:themeColor="text1"/>
        </w:rPr>
        <w:t>Riforma contrattazione</w:t>
      </w:r>
    </w:p>
    <w:p w14:paraId="0B7E18C6" w14:textId="6FCFD2A6" w:rsidR="000511EA" w:rsidRPr="00165A5D" w:rsidRDefault="000511EA" w:rsidP="000511EA">
      <w:pPr>
        <w:tabs>
          <w:tab w:val="left" w:pos="2000"/>
        </w:tabs>
        <w:spacing w:after="120"/>
        <w:jc w:val="both"/>
        <w:rPr>
          <w:rFonts w:cstheme="minorHAnsi"/>
          <w:b/>
          <w:bCs/>
          <w:color w:val="000000" w:themeColor="text1"/>
        </w:rPr>
      </w:pPr>
      <w:r w:rsidRPr="00165A5D">
        <w:rPr>
          <w:rFonts w:cstheme="minorHAnsi"/>
          <w:color w:val="000000" w:themeColor="text1"/>
        </w:rPr>
        <w:t>La contrattazione obbligatoria di settore si pone dunque come punto focale di una futura riforma.</w:t>
      </w:r>
    </w:p>
    <w:p w14:paraId="5914DE32" w14:textId="77777777" w:rsidR="00165A5D" w:rsidRDefault="00165A5D" w:rsidP="00165A5D">
      <w:pPr>
        <w:tabs>
          <w:tab w:val="left" w:pos="2000"/>
        </w:tabs>
        <w:spacing w:after="120"/>
        <w:jc w:val="both"/>
        <w:rPr>
          <w:rFonts w:cstheme="minorHAnsi"/>
          <w:color w:val="000000" w:themeColor="text1"/>
        </w:rPr>
      </w:pPr>
      <w:r w:rsidRPr="00165A5D">
        <w:rPr>
          <w:rFonts w:cstheme="minorHAnsi"/>
          <w:color w:val="000000" w:themeColor="text1"/>
        </w:rPr>
        <w:t xml:space="preserve">Spesso il ricorso a diverse forme contrattuali e accordi economici </w:t>
      </w:r>
      <w:r w:rsidRPr="00165A5D">
        <w:rPr>
          <w:rFonts w:cstheme="minorHAnsi"/>
        </w:rPr>
        <w:t>che prevedano l’affidamento diretto o indiretto delle attività di gestione non negoziati</w:t>
      </w:r>
      <w:r w:rsidRPr="00165A5D">
        <w:rPr>
          <w:rFonts w:cstheme="minorHAnsi"/>
          <w:color w:val="000000" w:themeColor="text1"/>
        </w:rPr>
        <w:t xml:space="preserve"> con le controparti assicurano illegittimi vantaggi competitivi ai titolari e determinano condizioni di gestione capestro con derive ascrivibili ad un vero e proprio caporalato. </w:t>
      </w:r>
    </w:p>
    <w:p w14:paraId="69866903" w14:textId="64778ACE" w:rsidR="00165A5D" w:rsidRPr="00165A5D" w:rsidRDefault="00165A5D" w:rsidP="00165A5D">
      <w:pPr>
        <w:tabs>
          <w:tab w:val="left" w:pos="2000"/>
        </w:tabs>
        <w:spacing w:after="120"/>
        <w:jc w:val="both"/>
        <w:rPr>
          <w:rFonts w:cstheme="minorHAnsi"/>
          <w:color w:val="000000" w:themeColor="text1"/>
        </w:rPr>
      </w:pPr>
      <w:r w:rsidRPr="00165A5D">
        <w:rPr>
          <w:rFonts w:cstheme="minorHAnsi"/>
          <w:color w:val="000000" w:themeColor="text1"/>
        </w:rPr>
        <w:t>Il punto è definire, anche in questo settore, per i gestori carburanti in quanto figura giuridica a cavallo tra il lavoratore autonomo e il lavoratore dipendente, una remunerazione minima oraria che lo sottragga al ricatto della perdita del lavoro e concorra alla qualificazione del settore.</w:t>
      </w:r>
    </w:p>
    <w:p w14:paraId="67A440B6" w14:textId="7CDEE82D" w:rsidR="00803B4F" w:rsidRPr="00165A5D" w:rsidRDefault="00056DFC" w:rsidP="000511EA">
      <w:pPr>
        <w:tabs>
          <w:tab w:val="left" w:pos="2000"/>
        </w:tabs>
        <w:spacing w:after="120"/>
        <w:jc w:val="both"/>
        <w:rPr>
          <w:rFonts w:cstheme="minorHAnsi"/>
          <w:b/>
          <w:bCs/>
          <w:color w:val="000000" w:themeColor="text1"/>
        </w:rPr>
      </w:pPr>
      <w:r w:rsidRPr="00165A5D">
        <w:rPr>
          <w:rFonts w:cstheme="minorHAnsi"/>
          <w:b/>
          <w:bCs/>
          <w:color w:val="000000" w:themeColor="text1"/>
        </w:rPr>
        <w:t>R</w:t>
      </w:r>
      <w:r w:rsidR="00803B4F" w:rsidRPr="00165A5D">
        <w:rPr>
          <w:rFonts w:cstheme="minorHAnsi"/>
          <w:b/>
          <w:bCs/>
          <w:color w:val="000000" w:themeColor="text1"/>
        </w:rPr>
        <w:t xml:space="preserve">ete ordinaria </w:t>
      </w:r>
      <w:r w:rsidR="00B4077C" w:rsidRPr="00165A5D">
        <w:rPr>
          <w:rFonts w:cstheme="minorHAnsi"/>
          <w:b/>
          <w:bCs/>
          <w:color w:val="000000" w:themeColor="text1"/>
        </w:rPr>
        <w:t>e regime autorizzatorio</w:t>
      </w:r>
    </w:p>
    <w:p w14:paraId="557A534A" w14:textId="32FBEE40"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Necessario un forte potenziamento del vigente regime autorizzatorio, con un’Autorizzazione Speciale che punti sulla qualificazione dei requisiti dei soggetti titolari degli impianti. Tale “Autorizzazione Speciale” dovrebbe essere introdotta secondo queste condizioni: </w:t>
      </w:r>
    </w:p>
    <w:p w14:paraId="50DA1D91" w14:textId="77777777"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a) L’autorizzazione per un nuovo impianto dovrebbe essere rilasciata solo a soggetti che presentino una sperimentata capacità tecnico-organizzativa ed economica; </w:t>
      </w:r>
    </w:p>
    <w:p w14:paraId="5AAD1BCA" w14:textId="77777777"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b) Obbligo in capo al titolare dell’autorizzazione a garantire la continuità e regolarità del servizio di distribuzione e le norme di sicurezza disposte dalle autorità; </w:t>
      </w:r>
    </w:p>
    <w:p w14:paraId="3E10059A" w14:textId="77777777"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lastRenderedPageBreak/>
        <w:t>c) Obbligo di installazione sui punti vendita di almeno due delle energie decarbonizzate, come energia elettrica, biocarburanti, biometano, idrogeno, e-</w:t>
      </w:r>
      <w:proofErr w:type="spellStart"/>
      <w:r w:rsidRPr="00165A5D">
        <w:rPr>
          <w:rFonts w:cstheme="minorHAnsi"/>
          <w:color w:val="000000" w:themeColor="text1"/>
        </w:rPr>
        <w:t>fuel</w:t>
      </w:r>
      <w:proofErr w:type="spellEnd"/>
      <w:r w:rsidRPr="00165A5D">
        <w:rPr>
          <w:rFonts w:cstheme="minorHAnsi"/>
          <w:color w:val="000000" w:themeColor="text1"/>
        </w:rPr>
        <w:t xml:space="preserve"> sintetici, pena la decadenza dell’autorizzazione in capo a 24 mesi;  </w:t>
      </w:r>
    </w:p>
    <w:p w14:paraId="07B3AA08" w14:textId="77777777"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d) Certificato del casellario giudiziale attestante l’assenza di condanne penali, e l’assenza di procedimenti penali, o di dichiarazioni di liquidazione giudiziale del titolare/amministratore e dei componenti l’organo di gestione societario e società strumentali e delegate, titolari dell’impianto; </w:t>
      </w:r>
    </w:p>
    <w:p w14:paraId="128EBA85" w14:textId="553BF022"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e) Documento di regolarità contrattuale, rilasciato dal Ministero competente (oggi il Mite) ai soggetti che abbiano, ai sensi dell’art. 19 della legge 57/2001, siglato Accordi economici e normativi con la</w:t>
      </w:r>
      <w:r w:rsidR="00056DFC" w:rsidRPr="00165A5D">
        <w:rPr>
          <w:rFonts w:cstheme="minorHAnsi"/>
          <w:color w:val="000000" w:themeColor="text1"/>
        </w:rPr>
        <w:t xml:space="preserve"> </w:t>
      </w:r>
      <w:r w:rsidRPr="00165A5D">
        <w:rPr>
          <w:rFonts w:cstheme="minorHAnsi"/>
          <w:color w:val="000000" w:themeColor="text1"/>
        </w:rPr>
        <w:t xml:space="preserve">rappresentanza maggiormente indicativa dei gestori carburanti e depositati presso il </w:t>
      </w:r>
      <w:proofErr w:type="spellStart"/>
      <w:r w:rsidRPr="00165A5D">
        <w:rPr>
          <w:rFonts w:cstheme="minorHAnsi"/>
          <w:color w:val="000000" w:themeColor="text1"/>
        </w:rPr>
        <w:t>MiTE</w:t>
      </w:r>
      <w:proofErr w:type="spellEnd"/>
      <w:r w:rsidRPr="00165A5D">
        <w:rPr>
          <w:rFonts w:cstheme="minorHAnsi"/>
          <w:color w:val="000000" w:themeColor="text1"/>
        </w:rPr>
        <w:t>;</w:t>
      </w:r>
    </w:p>
    <w:p w14:paraId="256CE696" w14:textId="4557F2F2"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f) Controllo ex ante da parte dell’Agenzia delle Dogane. </w:t>
      </w:r>
    </w:p>
    <w:p w14:paraId="145D0F18" w14:textId="5718B5A5" w:rsidR="00803B4F" w:rsidRPr="00165A5D" w:rsidRDefault="00803B4F" w:rsidP="000511EA">
      <w:pPr>
        <w:tabs>
          <w:tab w:val="left" w:pos="2000"/>
        </w:tabs>
        <w:spacing w:after="120"/>
        <w:jc w:val="both"/>
        <w:rPr>
          <w:rFonts w:cstheme="minorHAnsi"/>
          <w:b/>
          <w:bCs/>
          <w:color w:val="000000" w:themeColor="text1"/>
        </w:rPr>
      </w:pPr>
      <w:r w:rsidRPr="00165A5D">
        <w:rPr>
          <w:rFonts w:cstheme="minorHAnsi"/>
          <w:b/>
          <w:bCs/>
          <w:color w:val="000000" w:themeColor="text1"/>
        </w:rPr>
        <w:t>Riqualificazione della rete</w:t>
      </w:r>
    </w:p>
    <w:p w14:paraId="5118BF32" w14:textId="77777777"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Più selettiva sarà la griglia di criteri ammessi, più qualificata e meno affollata sarà la rete del futuro. In questa ottica vanno rafforzati i criteri adottati nella legge 124/2017, così come vanno potenziati gli strumenti di welfare del bonus di fine gestione e il rifinanziamento del fondo indennizzi. </w:t>
      </w:r>
    </w:p>
    <w:p w14:paraId="2F3E0794" w14:textId="23BF96E3" w:rsidR="00803B4F" w:rsidRPr="00165A5D" w:rsidRDefault="00803B4F" w:rsidP="000511EA">
      <w:pPr>
        <w:tabs>
          <w:tab w:val="left" w:pos="2000"/>
        </w:tabs>
        <w:spacing w:after="120"/>
        <w:jc w:val="both"/>
        <w:rPr>
          <w:rFonts w:cstheme="minorHAnsi"/>
          <w:color w:val="000000" w:themeColor="text1"/>
        </w:rPr>
      </w:pPr>
      <w:r w:rsidRPr="00165A5D">
        <w:rPr>
          <w:rFonts w:cstheme="minorHAnsi"/>
          <w:b/>
          <w:bCs/>
          <w:color w:val="000000" w:themeColor="text1"/>
        </w:rPr>
        <w:t>Comunicazione dei prezzi e la Trasparenza del mercato carburanti</w:t>
      </w:r>
      <w:r w:rsidRPr="00165A5D">
        <w:rPr>
          <w:rFonts w:cstheme="minorHAnsi"/>
          <w:color w:val="000000" w:themeColor="text1"/>
        </w:rPr>
        <w:t xml:space="preserve"> </w:t>
      </w:r>
    </w:p>
    <w:p w14:paraId="43A9AE4B" w14:textId="5197AF9E"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Faib propone di operare per una più proficua collaborazione tra le banche dati pubbliche, nonché di perseguire obiettivi di completezza delle informazioni su tutta la rete, e contrastare la giungla cartellonistica. Per fare questo basta azionare l’opzione automatizzata della comunicazione dei prezzi praticati ad opera dei titolari di impianti che hanno l’esclusiva della comunicazione ai punti vendita dei prezzi consigliati, e gli strumenti centralizzati del controllo dei prezzi praticati.</w:t>
      </w:r>
    </w:p>
    <w:p w14:paraId="3EFE0A40" w14:textId="1CA7C3C9" w:rsidR="00803B4F" w:rsidRPr="00165A5D" w:rsidRDefault="00803B4F" w:rsidP="000511EA">
      <w:pPr>
        <w:tabs>
          <w:tab w:val="left" w:pos="2000"/>
        </w:tabs>
        <w:spacing w:after="120"/>
        <w:jc w:val="both"/>
        <w:rPr>
          <w:rFonts w:cstheme="minorHAnsi"/>
          <w:color w:val="000000" w:themeColor="text1"/>
        </w:rPr>
      </w:pPr>
      <w:r w:rsidRPr="00165A5D">
        <w:rPr>
          <w:rFonts w:cstheme="minorHAnsi"/>
          <w:b/>
          <w:bCs/>
          <w:color w:val="000000" w:themeColor="text1"/>
        </w:rPr>
        <w:t>Previdenza pensionistica</w:t>
      </w:r>
      <w:r w:rsidRPr="00165A5D">
        <w:rPr>
          <w:rFonts w:cstheme="minorHAnsi"/>
          <w:color w:val="000000" w:themeColor="text1"/>
        </w:rPr>
        <w:t xml:space="preserve"> </w:t>
      </w:r>
    </w:p>
    <w:p w14:paraId="3EE1AF94" w14:textId="59FDFB5A" w:rsidR="00803B4F" w:rsidRPr="00165A5D" w:rsidRDefault="00803B4F" w:rsidP="000511EA">
      <w:pPr>
        <w:tabs>
          <w:tab w:val="left" w:pos="2000"/>
        </w:tabs>
        <w:spacing w:after="120"/>
        <w:jc w:val="both"/>
        <w:rPr>
          <w:rFonts w:cstheme="minorHAnsi"/>
          <w:color w:val="000000" w:themeColor="text1"/>
        </w:rPr>
      </w:pPr>
      <w:r w:rsidRPr="00165A5D">
        <w:rPr>
          <w:rFonts w:cstheme="minorHAnsi"/>
          <w:color w:val="000000" w:themeColor="text1"/>
        </w:rPr>
        <w:t xml:space="preserve">In considerazione del riconoscimento della distribuzione carburanti tra le attività gravose, e del processo di razionalizzazione del settore, rimane valida la proposta dell’adozione di misure che favoriscano l’uso di forme speciali e transitorie di contributo minimo di anzianità professionale.   </w:t>
      </w:r>
    </w:p>
    <w:p w14:paraId="26C81507" w14:textId="7319A04C" w:rsidR="00803B4F" w:rsidRPr="00165A5D" w:rsidRDefault="00803B4F" w:rsidP="000511EA">
      <w:pPr>
        <w:spacing w:after="120"/>
        <w:rPr>
          <w:rFonts w:cstheme="minorHAnsi"/>
          <w:color w:val="000000" w:themeColor="text1"/>
        </w:rPr>
      </w:pPr>
      <w:r w:rsidRPr="00165A5D">
        <w:rPr>
          <w:rFonts w:cstheme="minorHAnsi"/>
          <w:color w:val="000000" w:themeColor="text1"/>
        </w:rPr>
        <w:t xml:space="preserve">Per Faib queste sono probabilmente le sfide maggiori degli ultimi anni, ma anche le più importanti per il futuro della rete e dei suoi protagonisti, e soprattutto per l’avvenire energetico del Paese.  </w:t>
      </w:r>
    </w:p>
    <w:p w14:paraId="18EECFB2" w14:textId="77777777" w:rsidR="00041AC9" w:rsidRDefault="00041AC9" w:rsidP="000511EA">
      <w:pPr>
        <w:spacing w:after="120"/>
        <w:rPr>
          <w:rFonts w:cstheme="minorHAnsi"/>
          <w:color w:val="000000" w:themeColor="text1"/>
          <w:sz w:val="24"/>
          <w:szCs w:val="24"/>
        </w:rPr>
      </w:pPr>
    </w:p>
    <w:p w14:paraId="272C98A3" w14:textId="72B59148" w:rsidR="00041AC9" w:rsidRPr="000511EA" w:rsidRDefault="00041AC9" w:rsidP="000511EA">
      <w:pPr>
        <w:spacing w:after="120"/>
        <w:rPr>
          <w:rFonts w:cstheme="minorHAnsi"/>
          <w:sz w:val="24"/>
          <w:szCs w:val="24"/>
        </w:rPr>
      </w:pPr>
      <w:r>
        <w:rPr>
          <w:rFonts w:cstheme="minorHAnsi"/>
          <w:sz w:val="24"/>
          <w:szCs w:val="24"/>
        </w:rPr>
        <w:t xml:space="preserve"> </w:t>
      </w:r>
    </w:p>
    <w:sectPr w:rsidR="00041AC9" w:rsidRPr="000511EA" w:rsidSect="00B4077C">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801C" w14:textId="77777777" w:rsidR="00D11F2C" w:rsidRDefault="00D11F2C" w:rsidP="00B4077C">
      <w:pPr>
        <w:spacing w:after="0" w:line="240" w:lineRule="auto"/>
      </w:pPr>
      <w:r>
        <w:separator/>
      </w:r>
    </w:p>
  </w:endnote>
  <w:endnote w:type="continuationSeparator" w:id="0">
    <w:p w14:paraId="18F12D20" w14:textId="77777777" w:rsidR="00D11F2C" w:rsidRDefault="00D11F2C" w:rsidP="00B40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8729" w14:textId="77777777" w:rsidR="00D11F2C" w:rsidRDefault="00D11F2C" w:rsidP="00B4077C">
      <w:pPr>
        <w:spacing w:after="0" w:line="240" w:lineRule="auto"/>
      </w:pPr>
      <w:r>
        <w:separator/>
      </w:r>
    </w:p>
  </w:footnote>
  <w:footnote w:type="continuationSeparator" w:id="0">
    <w:p w14:paraId="7EB37397" w14:textId="77777777" w:rsidR="00D11F2C" w:rsidRDefault="00D11F2C" w:rsidP="00B40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BA4" w14:textId="77777777" w:rsidR="00B4077C" w:rsidRDefault="00B4077C" w:rsidP="00B4077C">
    <w:pPr>
      <w:pStyle w:val="Intestazione"/>
      <w:jc w:val="center"/>
    </w:pPr>
    <w:r w:rsidRPr="00B4077C">
      <w:rPr>
        <w:rFonts w:ascii="Times New Roman" w:eastAsia="SimSun" w:hAnsi="Times New Roman" w:cs="Times New Roman"/>
        <w:b/>
        <w:bCs/>
        <w:noProof/>
        <w:color w:val="000000"/>
        <w:kern w:val="0"/>
        <w:sz w:val="96"/>
        <w:szCs w:val="24"/>
        <w:lang w:eastAsia="zh-CN"/>
        <w14:ligatures w14:val="none"/>
      </w:rPr>
      <w:drawing>
        <wp:inline distT="0" distB="0" distL="0" distR="0" wp14:anchorId="7CEEEF00" wp14:editId="7553DDB0">
          <wp:extent cx="1190625" cy="1050830"/>
          <wp:effectExtent l="0" t="0" r="0" b="0"/>
          <wp:docPr id="2075903725" name="Immagine 1" descr="Immagine che contiene testo, Carattere, design,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903725" name="Immagine 1" descr="Immagine che contiene testo, Carattere, design,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37500"/>
                  <a:stretch/>
                </pic:blipFill>
                <pic:spPr bwMode="auto">
                  <a:xfrm>
                    <a:off x="0" y="0"/>
                    <a:ext cx="1195036" cy="1054723"/>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F5311B">
      <w:rPr>
        <w:noProof/>
      </w:rPr>
      <w:drawing>
        <wp:inline distT="0" distB="0" distL="0" distR="0" wp14:anchorId="2D6CB189" wp14:editId="3DE38D57">
          <wp:extent cx="2318385" cy="876134"/>
          <wp:effectExtent l="0" t="0" r="0" b="0"/>
          <wp:docPr id="2" name="Immagine 2" descr="LOGOC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CON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253" cy="880241"/>
                  </a:xfrm>
                  <a:prstGeom prst="rect">
                    <a:avLst/>
                  </a:prstGeom>
                  <a:noFill/>
                  <a:ln>
                    <a:noFill/>
                  </a:ln>
                </pic:spPr>
              </pic:pic>
            </a:graphicData>
          </a:graphic>
        </wp:inline>
      </w:drawing>
    </w:r>
  </w:p>
  <w:p w14:paraId="296A829F" w14:textId="77777777" w:rsidR="00B4077C" w:rsidRDefault="00B407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45348"/>
    <w:multiLevelType w:val="hybridMultilevel"/>
    <w:tmpl w:val="757A40B4"/>
    <w:lvl w:ilvl="0" w:tplc="AEA2FD48">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F20D85"/>
    <w:multiLevelType w:val="hybridMultilevel"/>
    <w:tmpl w:val="3A6E1D9E"/>
    <w:lvl w:ilvl="0" w:tplc="AEA2FD48">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2011681">
    <w:abstractNumId w:val="1"/>
  </w:num>
  <w:num w:numId="2" w16cid:durableId="114532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59"/>
    <w:rsid w:val="0003103C"/>
    <w:rsid w:val="00041AC9"/>
    <w:rsid w:val="000511EA"/>
    <w:rsid w:val="00056DFC"/>
    <w:rsid w:val="000C72F1"/>
    <w:rsid w:val="00165A5D"/>
    <w:rsid w:val="002F28E9"/>
    <w:rsid w:val="00467531"/>
    <w:rsid w:val="005C4766"/>
    <w:rsid w:val="006C50C3"/>
    <w:rsid w:val="006F5A40"/>
    <w:rsid w:val="00717309"/>
    <w:rsid w:val="00803B4F"/>
    <w:rsid w:val="00866B8A"/>
    <w:rsid w:val="0088680E"/>
    <w:rsid w:val="008D077D"/>
    <w:rsid w:val="009037BC"/>
    <w:rsid w:val="009F7D7F"/>
    <w:rsid w:val="00A11559"/>
    <w:rsid w:val="00A445F8"/>
    <w:rsid w:val="00B32042"/>
    <w:rsid w:val="00B4077C"/>
    <w:rsid w:val="00BF531C"/>
    <w:rsid w:val="00C02AE0"/>
    <w:rsid w:val="00C243CD"/>
    <w:rsid w:val="00C5597C"/>
    <w:rsid w:val="00C70AD9"/>
    <w:rsid w:val="00D11F2C"/>
    <w:rsid w:val="00D134F7"/>
    <w:rsid w:val="00D51D90"/>
    <w:rsid w:val="00DD43AC"/>
    <w:rsid w:val="00E61474"/>
    <w:rsid w:val="00F329B7"/>
    <w:rsid w:val="00F97BFB"/>
    <w:rsid w:val="00FB2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89FF"/>
  <w15:chartTrackingRefBased/>
  <w15:docId w15:val="{9B4B8476-2ADA-419A-B567-5BAFF778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11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37BC"/>
    <w:pPr>
      <w:ind w:left="720"/>
      <w:contextualSpacing/>
    </w:pPr>
  </w:style>
  <w:style w:type="table" w:styleId="Grigliatabella">
    <w:name w:val="Table Grid"/>
    <w:basedOn w:val="Tabellanormale"/>
    <w:uiPriority w:val="39"/>
    <w:rsid w:val="00D13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40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077C"/>
  </w:style>
  <w:style w:type="paragraph" w:styleId="Pidipagina">
    <w:name w:val="footer"/>
    <w:basedOn w:val="Normale"/>
    <w:link w:val="PidipaginaCarattere"/>
    <w:uiPriority w:val="99"/>
    <w:unhideWhenUsed/>
    <w:rsid w:val="00B40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4935">
      <w:bodyDiv w:val="1"/>
      <w:marLeft w:val="0"/>
      <w:marRight w:val="0"/>
      <w:marTop w:val="0"/>
      <w:marBottom w:val="0"/>
      <w:divBdr>
        <w:top w:val="none" w:sz="0" w:space="0" w:color="auto"/>
        <w:left w:val="none" w:sz="0" w:space="0" w:color="auto"/>
        <w:bottom w:val="none" w:sz="0" w:space="0" w:color="auto"/>
        <w:right w:val="none" w:sz="0" w:space="0" w:color="auto"/>
      </w:divBdr>
    </w:div>
    <w:div w:id="142898050">
      <w:bodyDiv w:val="1"/>
      <w:marLeft w:val="0"/>
      <w:marRight w:val="0"/>
      <w:marTop w:val="0"/>
      <w:marBottom w:val="0"/>
      <w:divBdr>
        <w:top w:val="none" w:sz="0" w:space="0" w:color="auto"/>
        <w:left w:val="none" w:sz="0" w:space="0" w:color="auto"/>
        <w:bottom w:val="none" w:sz="0" w:space="0" w:color="auto"/>
        <w:right w:val="none" w:sz="0" w:space="0" w:color="auto"/>
      </w:divBdr>
    </w:div>
    <w:div w:id="367873123">
      <w:bodyDiv w:val="1"/>
      <w:marLeft w:val="0"/>
      <w:marRight w:val="0"/>
      <w:marTop w:val="0"/>
      <w:marBottom w:val="0"/>
      <w:divBdr>
        <w:top w:val="none" w:sz="0" w:space="0" w:color="auto"/>
        <w:left w:val="none" w:sz="0" w:space="0" w:color="auto"/>
        <w:bottom w:val="none" w:sz="0" w:space="0" w:color="auto"/>
        <w:right w:val="none" w:sz="0" w:space="0" w:color="auto"/>
      </w:divBdr>
    </w:div>
    <w:div w:id="388110675">
      <w:bodyDiv w:val="1"/>
      <w:marLeft w:val="0"/>
      <w:marRight w:val="0"/>
      <w:marTop w:val="0"/>
      <w:marBottom w:val="0"/>
      <w:divBdr>
        <w:top w:val="none" w:sz="0" w:space="0" w:color="auto"/>
        <w:left w:val="none" w:sz="0" w:space="0" w:color="auto"/>
        <w:bottom w:val="none" w:sz="0" w:space="0" w:color="auto"/>
        <w:right w:val="none" w:sz="0" w:space="0" w:color="auto"/>
      </w:divBdr>
    </w:div>
    <w:div w:id="577861033">
      <w:bodyDiv w:val="1"/>
      <w:marLeft w:val="0"/>
      <w:marRight w:val="0"/>
      <w:marTop w:val="0"/>
      <w:marBottom w:val="0"/>
      <w:divBdr>
        <w:top w:val="none" w:sz="0" w:space="0" w:color="auto"/>
        <w:left w:val="none" w:sz="0" w:space="0" w:color="auto"/>
        <w:bottom w:val="none" w:sz="0" w:space="0" w:color="auto"/>
        <w:right w:val="none" w:sz="0" w:space="0" w:color="auto"/>
      </w:divBdr>
    </w:div>
    <w:div w:id="889150527">
      <w:bodyDiv w:val="1"/>
      <w:marLeft w:val="0"/>
      <w:marRight w:val="0"/>
      <w:marTop w:val="0"/>
      <w:marBottom w:val="0"/>
      <w:divBdr>
        <w:top w:val="none" w:sz="0" w:space="0" w:color="auto"/>
        <w:left w:val="none" w:sz="0" w:space="0" w:color="auto"/>
        <w:bottom w:val="none" w:sz="0" w:space="0" w:color="auto"/>
        <w:right w:val="none" w:sz="0" w:space="0" w:color="auto"/>
      </w:divBdr>
    </w:div>
    <w:div w:id="946960004">
      <w:bodyDiv w:val="1"/>
      <w:marLeft w:val="0"/>
      <w:marRight w:val="0"/>
      <w:marTop w:val="0"/>
      <w:marBottom w:val="0"/>
      <w:divBdr>
        <w:top w:val="none" w:sz="0" w:space="0" w:color="auto"/>
        <w:left w:val="none" w:sz="0" w:space="0" w:color="auto"/>
        <w:bottom w:val="none" w:sz="0" w:space="0" w:color="auto"/>
        <w:right w:val="none" w:sz="0" w:space="0" w:color="auto"/>
      </w:divBdr>
    </w:div>
    <w:div w:id="1123230241">
      <w:bodyDiv w:val="1"/>
      <w:marLeft w:val="0"/>
      <w:marRight w:val="0"/>
      <w:marTop w:val="0"/>
      <w:marBottom w:val="0"/>
      <w:divBdr>
        <w:top w:val="none" w:sz="0" w:space="0" w:color="auto"/>
        <w:left w:val="none" w:sz="0" w:space="0" w:color="auto"/>
        <w:bottom w:val="none" w:sz="0" w:space="0" w:color="auto"/>
        <w:right w:val="none" w:sz="0" w:space="0" w:color="auto"/>
      </w:divBdr>
    </w:div>
    <w:div w:id="1629509550">
      <w:bodyDiv w:val="1"/>
      <w:marLeft w:val="0"/>
      <w:marRight w:val="0"/>
      <w:marTop w:val="0"/>
      <w:marBottom w:val="0"/>
      <w:divBdr>
        <w:top w:val="none" w:sz="0" w:space="0" w:color="auto"/>
        <w:left w:val="none" w:sz="0" w:space="0" w:color="auto"/>
        <w:bottom w:val="none" w:sz="0" w:space="0" w:color="auto"/>
        <w:right w:val="none" w:sz="0" w:space="0" w:color="auto"/>
      </w:divBdr>
    </w:div>
    <w:div w:id="19466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2512</Words>
  <Characters>14320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MACCARI</dc:creator>
  <cp:keywords/>
  <dc:description/>
  <cp:lastModifiedBy>FEDELE TIZIANA</cp:lastModifiedBy>
  <cp:revision>6</cp:revision>
  <cp:lastPrinted>2023-09-26T10:38:00Z</cp:lastPrinted>
  <dcterms:created xsi:type="dcterms:W3CDTF">2023-09-26T10:37:00Z</dcterms:created>
  <dcterms:modified xsi:type="dcterms:W3CDTF">2023-09-26T13:56:00Z</dcterms:modified>
</cp:coreProperties>
</file>